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5B0FD3B3" w:rsidR="001A6867" w:rsidRPr="00CC6762" w:rsidRDefault="00B80E4C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Customer Account</w:t>
            </w:r>
            <w:r w:rsidR="00AD142B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s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Advisor 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649ED1A2" w:rsidR="001A6867" w:rsidRPr="00CC6762" w:rsidRDefault="00B80E4C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October 2023</w:t>
            </w:r>
          </w:p>
        </w:tc>
      </w:tr>
      <w:tr w:rsidR="007103A5" w:rsidRPr="00472249" w14:paraId="512C2E95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77777777" w:rsidR="007103A5" w:rsidRPr="00CC6762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 w:rsidRPr="00CC6762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TO BE COMPLETED BY HR REWARD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6B575" w14:textId="77777777" w:rsidR="00AA69C1" w:rsidRDefault="00B80E4C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Billing and Collections </w:t>
            </w:r>
          </w:p>
          <w:p w14:paraId="512C2E94" w14:textId="3F3414BC" w:rsidR="007103A5" w:rsidRPr="00CC6762" w:rsidRDefault="000A2E4F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Business</w:t>
            </w:r>
            <w:r w:rsidR="00AA69C1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</w:t>
            </w:r>
            <w:r w:rsidR="00B80E4C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Ro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adside Finance</w:t>
            </w:r>
          </w:p>
        </w:tc>
      </w:tr>
      <w:tr w:rsidR="007103A5" w:rsidRPr="00472249" w14:paraId="512C2E9A" w14:textId="77777777" w:rsidTr="00CC6762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244898F4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00CC6762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00CC6762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8A296F" w14:paraId="512C2EF0" w14:textId="77777777" w:rsidTr="00CC6762">
        <w:tc>
          <w:tcPr>
            <w:tcW w:w="3869" w:type="dxa"/>
            <w:gridSpan w:val="2"/>
            <w:shd w:val="clear" w:color="auto" w:fill="auto"/>
          </w:tcPr>
          <w:p w14:paraId="512C2EA5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38C4B01A" w14:textId="48F7D7A0" w:rsidR="00CC63AD" w:rsidRPr="00BA151E" w:rsidRDefault="000A6095" w:rsidP="000C0050">
            <w:pPr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Responsible for managing and optimising the financial </w:t>
            </w:r>
            <w:r w:rsidR="004E0635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performance </w:t>
            </w:r>
            <w:r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of RAC by ensuring the </w:t>
            </w:r>
            <w:r w:rsidR="006D5984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>timely</w:t>
            </w:r>
            <w:r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 and </w:t>
            </w:r>
            <w:r w:rsidR="006D5984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>accurate</w:t>
            </w:r>
            <w:r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 billing of </w:t>
            </w:r>
            <w:r w:rsidR="00DE536D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customers and the efficient collection of outstanding balances. </w:t>
            </w:r>
          </w:p>
          <w:p w14:paraId="01B2310E" w14:textId="77777777" w:rsidR="00CC63AD" w:rsidRPr="00BA151E" w:rsidRDefault="00CC63AD" w:rsidP="000C0050">
            <w:pPr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</w:pPr>
          </w:p>
          <w:p w14:paraId="512C2EA7" w14:textId="031CD063" w:rsidR="007103A5" w:rsidRPr="00BA151E" w:rsidRDefault="00CC63AD" w:rsidP="00910EDE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This role is </w:t>
            </w:r>
            <w:r w:rsidR="000B23DD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responsible for </w:t>
            </w:r>
            <w:r w:rsidR="00910EDE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>maintaining</w:t>
            </w:r>
            <w:r w:rsidR="000B23DD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 positive customer relationships, </w:t>
            </w:r>
            <w:r w:rsidR="006F5715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ensuring accurate and timely invoicing, </w:t>
            </w:r>
            <w:r w:rsidR="000B23DD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>resolving billing queries and discrepancies</w:t>
            </w:r>
            <w:r w:rsidR="006F5715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>,</w:t>
            </w:r>
            <w:r w:rsidR="000B23DD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 and working with </w:t>
            </w:r>
            <w:r w:rsidR="00910EDE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>customers</w:t>
            </w:r>
            <w:r w:rsidR="000B23DD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 to </w:t>
            </w:r>
            <w:r w:rsidR="00910EDE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>obtain payment</w:t>
            </w:r>
            <w:r w:rsidR="00BA1BA1" w:rsidRPr="00BA151E">
              <w:rPr>
                <w:rFonts w:ascii="DINRoundOT-Medium" w:hAnsi="DINRoundOT-Medium" w:cs="DINRoundOT-Medium"/>
                <w:bCs/>
                <w:iCs/>
                <w:sz w:val="18"/>
                <w:szCs w:val="18"/>
              </w:rPr>
              <w:t xml:space="preserve"> in accordance with contractual terms. </w:t>
            </w:r>
          </w:p>
          <w:p w14:paraId="512C2EA8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512C2EA9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>Role Dimension:</w:t>
            </w:r>
          </w:p>
          <w:p w14:paraId="512C2EAA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>Financial</w:t>
            </w:r>
          </w:p>
          <w:p w14:paraId="08A99528" w14:textId="5C1BE88A" w:rsidR="00BB22F4" w:rsidRPr="00BA151E" w:rsidRDefault="00BB22F4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Deliver on KPIs including </w:t>
            </w:r>
            <w:r w:rsidR="00E70270"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individual/team/departmental </w:t>
            </w: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collectable debt and 120 day+ targets </w:t>
            </w:r>
          </w:p>
          <w:p w14:paraId="512C2EAC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512C2EAD" w14:textId="1B0C7912" w:rsidR="007103A5" w:rsidRPr="00BA151E" w:rsidRDefault="00CC6762" w:rsidP="000C00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>Non-</w:t>
            </w:r>
            <w:r w:rsidR="007103A5"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>Financial</w:t>
            </w: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>:</w:t>
            </w:r>
          </w:p>
          <w:p w14:paraId="1D1B0083" w14:textId="77777777" w:rsidR="00910DE4" w:rsidRPr="00BA151E" w:rsidRDefault="00910DE4" w:rsidP="00910DE4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Providing billing and collections services across the RAC business to multiple functions and product offerings </w:t>
            </w:r>
          </w:p>
          <w:p w14:paraId="2FEF536B" w14:textId="77777777" w:rsidR="00910DE4" w:rsidRPr="00BA151E" w:rsidRDefault="00910DE4" w:rsidP="00910DE4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20CE4284" w14:textId="77777777" w:rsidR="00E3163F" w:rsidRPr="00BA151E" w:rsidRDefault="008A6669" w:rsidP="00910DE4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As a team member </w:t>
            </w:r>
            <w:r w:rsidR="00910DE4"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will contribute to overall department responsibility of production of invoices and collection of payments for over £300m p.a.</w:t>
            </w:r>
          </w:p>
          <w:p w14:paraId="1172B0A2" w14:textId="77777777" w:rsidR="00E3163F" w:rsidRPr="00BA151E" w:rsidRDefault="00E3163F" w:rsidP="00910DE4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5F81C446" w14:textId="5E374424" w:rsidR="00576D41" w:rsidRPr="00BA151E" w:rsidRDefault="00576D41" w:rsidP="00910DE4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Responsible</w:t>
            </w:r>
            <w:r w:rsidR="00C95106"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for </w:t>
            </w: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billing and collection processes for </w:t>
            </w:r>
            <w:r w:rsidR="00C95106"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an allocated portfolio of </w:t>
            </w: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customers</w:t>
            </w:r>
            <w:r w:rsidR="00D65CE5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and their associated financial ledgers </w:t>
            </w:r>
          </w:p>
          <w:p w14:paraId="700A0820" w14:textId="77777777" w:rsidR="00576D41" w:rsidRPr="00BA151E" w:rsidRDefault="00576D41" w:rsidP="00910DE4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0B6001B2" w14:textId="0390EE28" w:rsidR="00910DE4" w:rsidRPr="00BA151E" w:rsidRDefault="00C95106" w:rsidP="00910DE4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lastRenderedPageBreak/>
              <w:t xml:space="preserve"> </w:t>
            </w:r>
            <w:r w:rsidR="00910DE4"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  </w:t>
            </w:r>
          </w:p>
          <w:p w14:paraId="512C2EAF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512C2EB0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6F5D21A9" w:rsidR="007103A5" w:rsidRPr="00BA151E" w:rsidRDefault="003D066D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Team Manager – Billing and Collections </w:t>
            </w:r>
          </w:p>
          <w:p w14:paraId="512C2EB2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512C2EB3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>Relationships</w:t>
            </w:r>
          </w:p>
          <w:p w14:paraId="333B3C1F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 xml:space="preserve">Internal: </w:t>
            </w:r>
          </w:p>
          <w:p w14:paraId="027E3081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Finance including Accounts Payable, Treasury and divisional Business Partners</w:t>
            </w:r>
          </w:p>
          <w:p w14:paraId="3E178407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RAC product and service owners</w:t>
            </w:r>
          </w:p>
          <w:p w14:paraId="2730DF1B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Service/Product aligned contact centre, administrative and operational colleagues </w:t>
            </w:r>
          </w:p>
          <w:p w14:paraId="18EBE222" w14:textId="0D1E4139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Account Managers</w:t>
            </w:r>
            <w:r w:rsidR="00BA2807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and Business Managers</w:t>
            </w:r>
          </w:p>
          <w:p w14:paraId="69BCC8B8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Customer Care</w:t>
            </w:r>
          </w:p>
          <w:p w14:paraId="0A6D3535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Implementation Teams </w:t>
            </w:r>
          </w:p>
          <w:p w14:paraId="1A9ED71F" w14:textId="3FA170DF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IT system specific support teams </w:t>
            </w:r>
          </w:p>
          <w:p w14:paraId="5AAF81D3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</w:p>
          <w:p w14:paraId="1A145305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>External:</w:t>
            </w:r>
          </w:p>
          <w:p w14:paraId="18C1B8B7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RAC corporate clients</w:t>
            </w:r>
          </w:p>
          <w:p w14:paraId="5AD80C69" w14:textId="77777777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RAC consumer members </w:t>
            </w:r>
          </w:p>
          <w:p w14:paraId="2D61005F" w14:textId="475F2BC0" w:rsidR="00415650" w:rsidRPr="00BA151E" w:rsidRDefault="00415650" w:rsidP="004156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Suppliers of relevant services including </w:t>
            </w:r>
            <w:r w:rsidR="00413BCF">
              <w:rPr>
                <w:rFonts w:ascii="DINRoundOT-Medium" w:hAnsi="DINRoundOT-Medium" w:cs="DINRoundOT-Medium"/>
                <w:bCs/>
                <w:sz w:val="18"/>
                <w:szCs w:val="18"/>
              </w:rPr>
              <w:t>recovery/</w:t>
            </w:r>
            <w:r w:rsidR="00B05AC7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garage contractors, </w:t>
            </w: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bespoke billing systems, debt collection agencies and legal partners</w:t>
            </w:r>
          </w:p>
          <w:p w14:paraId="512C2EB6" w14:textId="10D70AA2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</w:p>
        </w:tc>
        <w:tc>
          <w:tcPr>
            <w:tcW w:w="5543" w:type="dxa"/>
            <w:gridSpan w:val="2"/>
            <w:shd w:val="clear" w:color="auto" w:fill="auto"/>
          </w:tcPr>
          <w:p w14:paraId="512C2EB8" w14:textId="252EE385" w:rsidR="007103A5" w:rsidRPr="003A05EB" w:rsidRDefault="007103A5" w:rsidP="00EF7FF3">
            <w:pPr>
              <w:rPr>
                <w:rFonts w:ascii="DINRoundOT-Medium" w:hAnsi="DINRoundOT-Medium" w:cs="DINRoundOT-Medium"/>
                <w:bCs/>
                <w:i/>
                <w:iCs/>
                <w:color w:val="F79646" w:themeColor="accent6"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i/>
                <w:iCs/>
                <w:color w:val="F79646" w:themeColor="accent6"/>
                <w:sz w:val="18"/>
                <w:szCs w:val="18"/>
              </w:rPr>
              <w:lastRenderedPageBreak/>
              <w:t xml:space="preserve">What the role </w:t>
            </w:r>
            <w:r w:rsidR="00CC6762" w:rsidRPr="003A05EB">
              <w:rPr>
                <w:rFonts w:ascii="DINRoundOT-Medium" w:hAnsi="DINRoundOT-Medium" w:cs="DINRoundOT-Medium"/>
                <w:bCs/>
                <w:i/>
                <w:iCs/>
                <w:color w:val="F79646" w:themeColor="accent6"/>
                <w:sz w:val="18"/>
                <w:szCs w:val="18"/>
              </w:rPr>
              <w:t>must</w:t>
            </w:r>
            <w:r w:rsidRPr="003A05EB">
              <w:rPr>
                <w:rFonts w:ascii="DINRoundOT-Medium" w:hAnsi="DINRoundOT-Medium" w:cs="DINRoundOT-Medium"/>
                <w:bCs/>
                <w:i/>
                <w:iCs/>
                <w:color w:val="F79646" w:themeColor="accent6"/>
                <w:sz w:val="18"/>
                <w:szCs w:val="18"/>
              </w:rPr>
              <w:t xml:space="preserve"> deliver</w:t>
            </w:r>
          </w:p>
          <w:p w14:paraId="5EE7D922" w14:textId="77777777" w:rsidR="001622CE" w:rsidRPr="003A05EB" w:rsidRDefault="001622CE" w:rsidP="00CC6762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color w:val="FF0000"/>
                <w:sz w:val="16"/>
                <w:szCs w:val="16"/>
              </w:rPr>
            </w:pPr>
          </w:p>
          <w:p w14:paraId="08401521" w14:textId="77777777" w:rsidR="001622CE" w:rsidRPr="003A05EB" w:rsidRDefault="001622CE" w:rsidP="001622CE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Billing Operations</w:t>
            </w:r>
          </w:p>
          <w:p w14:paraId="4BC75431" w14:textId="09791CF1" w:rsidR="00B87735" w:rsidRPr="00B87735" w:rsidRDefault="00A8542B" w:rsidP="00B8773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Responsible for </w:t>
            </w:r>
            <w:r w:rsidR="001622CE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the timely and accurate preparation and delivery of invoices and statements for </w:t>
            </w:r>
            <w:r w:rsidR="005E5058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an </w:t>
            </w: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assigned </w:t>
            </w:r>
            <w:r w:rsidR="00395236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portfolio of</w:t>
            </w:r>
            <w:r w:rsidR="007639A1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customers</w:t>
            </w:r>
            <w:r w:rsidR="00A80529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. </w:t>
            </w:r>
            <w:r w:rsidR="00863F7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This could be system generated </w:t>
            </w:r>
            <w:r w:rsidR="00257012">
              <w:rPr>
                <w:rFonts w:ascii="DINRoundOT-Medium" w:hAnsi="DINRoundOT-Medium" w:cs="DINRoundOT-Medium"/>
                <w:bCs/>
                <w:sz w:val="18"/>
                <w:szCs w:val="18"/>
              </w:rPr>
              <w:t>invoicing</w:t>
            </w:r>
            <w:r w:rsidR="00863F7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, the </w:t>
            </w:r>
            <w:r w:rsidR="00781D0C">
              <w:rPr>
                <w:rFonts w:ascii="DINRoundOT-Medium" w:hAnsi="DINRoundOT-Medium" w:cs="DINRoundOT-Medium"/>
                <w:bCs/>
                <w:sz w:val="18"/>
                <w:szCs w:val="18"/>
              </w:rPr>
              <w:t>collation</w:t>
            </w:r>
            <w:r w:rsidR="00863F7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of customer/internal data </w:t>
            </w:r>
            <w:r w:rsidR="007F56C4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with manual/system supported </w:t>
            </w:r>
            <w:r w:rsidR="007F542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activity or any combination of each. </w:t>
            </w:r>
            <w:r w:rsidR="00A80529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Where </w:t>
            </w:r>
            <w:r w:rsidR="000B697C">
              <w:rPr>
                <w:rFonts w:ascii="DINRoundOT-Medium" w:hAnsi="DINRoundOT-Medium" w:cs="DINRoundOT-Medium"/>
                <w:bCs/>
                <w:sz w:val="18"/>
                <w:szCs w:val="18"/>
              </w:rPr>
              <w:t>appropriate</w:t>
            </w:r>
            <w:r w:rsidR="00A80529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this </w:t>
            </w:r>
            <w:r w:rsidR="000B697C">
              <w:rPr>
                <w:rFonts w:ascii="DINRoundOT-Medium" w:hAnsi="DINRoundOT-Medium" w:cs="DINRoundOT-Medium"/>
                <w:bCs/>
                <w:sz w:val="18"/>
                <w:szCs w:val="18"/>
              </w:rPr>
              <w:t>could</w:t>
            </w:r>
            <w:r w:rsidR="007F542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also</w:t>
            </w:r>
            <w:r w:rsidR="000B697C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involve the use of customer own billing platforms and industry systems e.g. 1Link</w:t>
            </w:r>
          </w:p>
          <w:p w14:paraId="01EE6AE4" w14:textId="4EC45E3C" w:rsidR="001622CE" w:rsidRPr="003A05EB" w:rsidRDefault="007639A1" w:rsidP="001622CE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Review </w:t>
            </w:r>
            <w:r w:rsidR="001622CE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billing </w:t>
            </w: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data </w:t>
            </w:r>
            <w:r w:rsidR="001622CE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to ensure compliance with company policies and product/customer specific Terms and Conditions </w:t>
            </w:r>
          </w:p>
          <w:p w14:paraId="328769E5" w14:textId="16367B62" w:rsidR="001622CE" w:rsidRDefault="00BB6E27" w:rsidP="001622CE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Re</w:t>
            </w:r>
            <w:r w:rsidR="001622CE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solve billing discrepancies and issues promptly and effectively </w:t>
            </w:r>
          </w:p>
          <w:p w14:paraId="4725BA7C" w14:textId="3954DA1C" w:rsidR="00812133" w:rsidRPr="003A05EB" w:rsidRDefault="00812133" w:rsidP="001622CE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Manage </w:t>
            </w:r>
            <w:r w:rsidR="006566B1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system billing exceptions </w:t>
            </w:r>
            <w:r w:rsidR="00021C02">
              <w:rPr>
                <w:rFonts w:ascii="DINRoundOT-Medium" w:hAnsi="DINRoundOT-Medium" w:cs="DINRoundOT-Medium"/>
                <w:bCs/>
                <w:sz w:val="18"/>
                <w:szCs w:val="18"/>
              </w:rPr>
              <w:t>to maximise billing opportunities</w:t>
            </w:r>
            <w:r w:rsidR="006566B1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</w:p>
          <w:p w14:paraId="0FF65176" w14:textId="77777777" w:rsidR="001622CE" w:rsidRPr="003A05EB" w:rsidRDefault="001622CE" w:rsidP="001622CE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Engage with internal teams and external suppliers to resolve any perceived process or system issues  </w:t>
            </w:r>
          </w:p>
          <w:p w14:paraId="779FC91F" w14:textId="3E96569C" w:rsidR="001622CE" w:rsidRPr="003A05EB" w:rsidRDefault="001622CE" w:rsidP="001622CE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Ensure that customer </w:t>
            </w:r>
            <w:r w:rsidR="00A7002A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e</w:t>
            </w: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nquiries and concerns are addressed promptly and professionally, always demonstrating RAC values</w:t>
            </w:r>
          </w:p>
          <w:p w14:paraId="7948FFFC" w14:textId="57A4D68D" w:rsidR="00F85CA9" w:rsidRDefault="00F85CA9" w:rsidP="001622CE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Have a good working knowledge of </w:t>
            </w:r>
            <w:r w:rsidR="007404C0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customer contracts</w:t>
            </w:r>
            <w:r w:rsidR="007F323A">
              <w:rPr>
                <w:rFonts w:ascii="DINRoundOT-Medium" w:hAnsi="DINRoundOT-Medium" w:cs="DINRoundOT-Medium"/>
                <w:bCs/>
                <w:sz w:val="18"/>
                <w:szCs w:val="18"/>
              </w:rPr>
              <w:t>, product Terms and Conditions</w:t>
            </w:r>
            <w:r w:rsidR="00A019BA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, </w:t>
            </w:r>
            <w:r w:rsidR="007404C0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and </w:t>
            </w:r>
            <w:r w:rsidR="00322709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their working </w:t>
            </w:r>
            <w:r w:rsidR="007404C0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account </w:t>
            </w:r>
            <w:r w:rsidR="00A019BA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and service </w:t>
            </w:r>
            <w:r w:rsidR="007404C0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s</w:t>
            </w:r>
            <w:r w:rsidR="00322709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tructure </w:t>
            </w:r>
            <w:r w:rsidR="007404C0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in RAC </w:t>
            </w:r>
            <w:r w:rsidR="00322709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systems </w:t>
            </w:r>
          </w:p>
          <w:p w14:paraId="5926AE1D" w14:textId="4A1ECE30" w:rsidR="003E4D4B" w:rsidRPr="007F5426" w:rsidRDefault="003E4D4B" w:rsidP="00FC6B83">
            <w:pPr>
              <w:pStyle w:val="ListParagraph"/>
              <w:tabs>
                <w:tab w:val="left" w:pos="432"/>
              </w:tabs>
              <w:rPr>
                <w:rFonts w:ascii="DINRoundOT-Medium" w:hAnsi="DINRoundOT-Medium" w:cs="DINRoundOT-Medium"/>
                <w:bCs/>
                <w:color w:val="FF0000"/>
                <w:sz w:val="16"/>
                <w:szCs w:val="16"/>
                <w:highlight w:val="yellow"/>
              </w:rPr>
            </w:pPr>
          </w:p>
          <w:p w14:paraId="5F6BD096" w14:textId="77777777" w:rsidR="00BD4B4A" w:rsidRPr="003A05EB" w:rsidRDefault="00BD4B4A" w:rsidP="00BD4B4A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Collections Management</w:t>
            </w:r>
          </w:p>
          <w:p w14:paraId="4BB73B20" w14:textId="54DB9B74" w:rsidR="00CC2F6E" w:rsidRPr="003A05EB" w:rsidRDefault="008D69ED" w:rsidP="00CC2F6E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Follow established </w:t>
            </w:r>
            <w:r w:rsidR="00530C38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departmental </w:t>
            </w:r>
            <w:r w:rsidR="00DC45B0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collection processes, </w:t>
            </w:r>
            <w:r w:rsidR="00530C38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including the issue of timely</w:t>
            </w:r>
            <w:r w:rsidR="0026062C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,</w:t>
            </w:r>
            <w:r w:rsidR="00530C38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="00CC2F6E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appropriate and targeted communication with customers regarding payments</w:t>
            </w:r>
          </w:p>
          <w:p w14:paraId="0E5582A0" w14:textId="4A5BA7C7" w:rsidR="008C4064" w:rsidRDefault="008C4064" w:rsidP="00CC2F6E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Contact </w:t>
            </w:r>
            <w:r w:rsidR="00DF2F41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customers</w:t>
            </w: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="00DF2F41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to negotiate payment arrangements and resolve payment issues</w:t>
            </w:r>
            <w:r w:rsidR="00203E00">
              <w:rPr>
                <w:rFonts w:ascii="DINRoundOT-Medium" w:hAnsi="DINRoundOT-Medium" w:cs="DINRoundOT-Medium"/>
                <w:bCs/>
                <w:sz w:val="18"/>
                <w:szCs w:val="18"/>
              </w:rPr>
              <w:t>. This could be by telephone</w:t>
            </w:r>
            <w:r w:rsidR="009F7960">
              <w:rPr>
                <w:rFonts w:ascii="DINRoundOT-Medium" w:hAnsi="DINRoundOT-Medium" w:cs="DINRoundOT-Medium"/>
                <w:bCs/>
                <w:sz w:val="18"/>
                <w:szCs w:val="18"/>
              </w:rPr>
              <w:t>,</w:t>
            </w:r>
            <w:r w:rsidR="00203E00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or email</w:t>
            </w:r>
            <w:r w:rsidR="009F7960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, </w:t>
            </w:r>
            <w:r w:rsidR="00E65CD1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or </w:t>
            </w:r>
            <w:r w:rsidR="009F7960">
              <w:rPr>
                <w:rFonts w:ascii="DINRoundOT-Medium" w:hAnsi="DINRoundOT-Medium" w:cs="DINRoundOT-Medium"/>
                <w:bCs/>
                <w:sz w:val="18"/>
                <w:szCs w:val="18"/>
              </w:rPr>
              <w:t>at an arranged meeting,</w:t>
            </w:r>
            <w:r w:rsidR="00F81EB4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or</w:t>
            </w:r>
            <w:r w:rsidR="00203E00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="00F81EB4">
              <w:rPr>
                <w:rFonts w:ascii="DINRoundOT-Medium" w:hAnsi="DINRoundOT-Medium" w:cs="DINRoundOT-Medium"/>
                <w:bCs/>
                <w:sz w:val="18"/>
                <w:szCs w:val="18"/>
              </w:rPr>
              <w:t>utilising payment solutions such as pay by link</w:t>
            </w:r>
            <w:r w:rsidR="009F7960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. </w:t>
            </w:r>
            <w:r w:rsidR="00F81EB4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</w:p>
          <w:p w14:paraId="6AE13E08" w14:textId="7F0CDFB6" w:rsidR="00676CE8" w:rsidRPr="003A05EB" w:rsidRDefault="00676CE8" w:rsidP="00CC2F6E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Attend internal and external meetings to ensure that all debts are effectively managed</w:t>
            </w:r>
          </w:p>
          <w:p w14:paraId="38666778" w14:textId="17481141" w:rsidR="00946278" w:rsidRDefault="00B416FC" w:rsidP="0090428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lastRenderedPageBreak/>
              <w:t xml:space="preserve">Monitor customer </w:t>
            </w:r>
            <w:r w:rsidR="00B54A2F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accounts for overdue </w:t>
            </w:r>
            <w:r w:rsidR="00FF70E8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payments</w:t>
            </w:r>
            <w:r w:rsidR="00946278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. Identify and </w:t>
            </w:r>
            <w:r w:rsidR="00B54A2F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take appropriate actions to collect </w:t>
            </w:r>
            <w:r w:rsidR="00FF70E8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outstanding</w:t>
            </w:r>
            <w:r w:rsidR="00B54A2F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balances</w:t>
            </w:r>
            <w:r w:rsidR="00904285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, including the </w:t>
            </w:r>
            <w:r w:rsidR="00946278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resolution of queries, negotiation of payment terms, or escalation internally, or a referral to legal processes</w:t>
            </w:r>
          </w:p>
          <w:p w14:paraId="3CC0A1F1" w14:textId="3B8BA1B1" w:rsidR="00376757" w:rsidRDefault="00676CE8" w:rsidP="0090428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="00376757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Identify changes in payment patterns and </w:t>
            </w:r>
            <w:r w:rsidR="005676AC">
              <w:rPr>
                <w:rFonts w:ascii="DINRoundOT-Medium" w:hAnsi="DINRoundOT-Medium" w:cs="DINRoundOT-Medium"/>
                <w:bCs/>
                <w:sz w:val="18"/>
                <w:szCs w:val="18"/>
              </w:rPr>
              <w:t>highlight as necessary to allow corrective action to be taken</w:t>
            </w:r>
          </w:p>
          <w:p w14:paraId="003A366E" w14:textId="1C5BEE93" w:rsidR="00DF241D" w:rsidRDefault="00DF241D" w:rsidP="0090428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="00752B3D">
              <w:rPr>
                <w:rFonts w:ascii="DINRoundOT-Medium" w:hAnsi="DINRoundOT-Medium" w:cs="DINRoundOT-Medium"/>
                <w:bCs/>
                <w:sz w:val="18"/>
                <w:szCs w:val="18"/>
              </w:rPr>
              <w:t>Following thorough investigation p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ropose credits of </w:t>
            </w:r>
            <w:r w:rsidR="00752B3D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disputed invoices using the </w:t>
            </w:r>
            <w:r w:rsidR="00147B18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associated system/process. </w:t>
            </w:r>
            <w:r w:rsidR="00D12B30">
              <w:rPr>
                <w:rFonts w:ascii="DINRoundOT-Medium" w:hAnsi="DINRoundOT-Medium" w:cs="DINRoundOT-Medium"/>
                <w:bCs/>
                <w:sz w:val="18"/>
                <w:szCs w:val="18"/>
              </w:rPr>
              <w:t>Accurately</w:t>
            </w:r>
            <w:r w:rsidR="00147B18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document the reasons and values to allow </w:t>
            </w:r>
            <w:r w:rsidR="00D12B30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approval and the ability to track trends </w:t>
            </w:r>
            <w:r w:rsidR="00752B3D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</w:p>
          <w:p w14:paraId="5957A3DB" w14:textId="19C88DFE" w:rsidR="007D742A" w:rsidRPr="003A05EB" w:rsidRDefault="00F35514" w:rsidP="0090428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Propose write offs of </w:t>
            </w:r>
            <w:r w:rsidR="006D0EF0">
              <w:rPr>
                <w:rFonts w:ascii="DINRoundOT-Medium" w:hAnsi="DINRoundOT-Medium" w:cs="DINRoundOT-Medium"/>
                <w:bCs/>
                <w:sz w:val="18"/>
                <w:szCs w:val="18"/>
              </w:rPr>
              <w:t>irrevocable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aged debts, </w:t>
            </w:r>
            <w:r w:rsidR="006D0EF0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providing full information to support the request and allow a decision to be granted  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</w:p>
          <w:p w14:paraId="174B0F73" w14:textId="13E14C43" w:rsidR="00DF2F41" w:rsidRPr="003A05EB" w:rsidRDefault="00DF2F41" w:rsidP="0090428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Maintain accurate records of all collections activities and communications </w:t>
            </w:r>
          </w:p>
          <w:p w14:paraId="36DA83DF" w14:textId="77777777" w:rsidR="006D7DF3" w:rsidRPr="00786436" w:rsidRDefault="006D7DF3" w:rsidP="00786436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  <w:highlight w:val="yellow"/>
              </w:rPr>
            </w:pPr>
          </w:p>
          <w:p w14:paraId="4D063930" w14:textId="6C1AF408" w:rsidR="000C01BB" w:rsidRPr="003A05EB" w:rsidRDefault="006D7DF3" w:rsidP="000C01BB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Customer </w:t>
            </w:r>
            <w:r w:rsidR="004E4B3B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Services and </w:t>
            </w: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Communication</w:t>
            </w:r>
          </w:p>
          <w:p w14:paraId="0B35EFB7" w14:textId="77777777" w:rsidR="002D4816" w:rsidRDefault="002A25A3" w:rsidP="002D4816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="002D4816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Provide </w:t>
            </w:r>
            <w:r w:rsidR="002D481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an </w:t>
            </w:r>
            <w:r w:rsidR="002D4816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excellent customer </w:t>
            </w:r>
            <w:r w:rsidR="002D481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experience </w:t>
            </w:r>
            <w:r w:rsidR="002D4816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by addressing customer enquiries and concerns, which have been raised by telephone, email, on a customer’s own billing platform or via a bespoke method </w:t>
            </w:r>
          </w:p>
          <w:p w14:paraId="2416CFB9" w14:textId="2F39FC19" w:rsidR="002A25A3" w:rsidRDefault="00377CA0" w:rsidP="000C01BB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Answer inbound telephone lines</w:t>
            </w:r>
            <w:r w:rsidR="00C759D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to the required KPIS. Follow agreed process for handling </w:t>
            </w:r>
            <w:r w:rsidR="00D929CB">
              <w:rPr>
                <w:rFonts w:ascii="DINRoundOT-Medium" w:hAnsi="DINRoundOT-Medium" w:cs="DINRoundOT-Medium"/>
                <w:bCs/>
                <w:sz w:val="18"/>
                <w:szCs w:val="18"/>
              </w:rPr>
              <w:t>queries and accurately document customer interactions in</w:t>
            </w:r>
            <w:r w:rsidR="008D0E3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the</w:t>
            </w:r>
            <w:r w:rsidR="00D929C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relevant RAC systems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 </w:t>
            </w:r>
          </w:p>
          <w:p w14:paraId="7CF76AAD" w14:textId="43C98490" w:rsidR="00D929CB" w:rsidRDefault="00D929CB" w:rsidP="000C01BB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="008D0E3B">
              <w:rPr>
                <w:rFonts w:ascii="DINRoundOT-Medium" w:hAnsi="DINRoundOT-Medium" w:cs="DINRoundOT-Medium"/>
                <w:bCs/>
                <w:sz w:val="18"/>
                <w:szCs w:val="18"/>
              </w:rPr>
              <w:t>Respond to emails received</w:t>
            </w:r>
            <w:r w:rsidR="00A203BF">
              <w:rPr>
                <w:rFonts w:ascii="DINRoundOT-Medium" w:hAnsi="DINRoundOT-Medium" w:cs="DINRoundOT-Medium"/>
                <w:bCs/>
                <w:sz w:val="18"/>
                <w:szCs w:val="18"/>
              </w:rPr>
              <w:t>, both to your own email and shared email boxes</w:t>
            </w:r>
            <w:r w:rsidR="00D87A61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, within agreed </w:t>
            </w:r>
            <w:r w:rsidR="00346669">
              <w:rPr>
                <w:rFonts w:ascii="DINRoundOT-Medium" w:hAnsi="DINRoundOT-Medium" w:cs="DINRoundOT-Medium"/>
                <w:bCs/>
                <w:sz w:val="18"/>
                <w:szCs w:val="18"/>
              </w:rPr>
              <w:t>SLAs</w:t>
            </w:r>
            <w:r w:rsidR="00D87A61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and following agreed processes</w:t>
            </w:r>
            <w:r w:rsidR="00A203BF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. </w:t>
            </w:r>
            <w:r w:rsidR="008D0E3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</w:p>
          <w:p w14:paraId="5FDB2F6E" w14:textId="6ABE5D86" w:rsidR="000C01BB" w:rsidRPr="003A05EB" w:rsidRDefault="000C01BB" w:rsidP="000C01BB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Communicate payment options, terms and conditions clearly to customers.</w:t>
            </w:r>
          </w:p>
          <w:p w14:paraId="5E163F1F" w14:textId="185A310B" w:rsidR="004E4B3B" w:rsidRPr="002D4816" w:rsidRDefault="000C01BB" w:rsidP="002D4816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Build and maintain positive relationships with customers to facilitate successful resolution of billing and collections issues</w:t>
            </w:r>
          </w:p>
          <w:p w14:paraId="4215696C" w14:textId="0BE64C69" w:rsidR="007A12E9" w:rsidRPr="003A05EB" w:rsidRDefault="007A12E9" w:rsidP="000C01BB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Where appropriate listen to call recording</w:t>
            </w:r>
            <w:r w:rsidR="001958BD">
              <w:rPr>
                <w:rFonts w:ascii="DINRoundOT-Medium" w:hAnsi="DINRoundOT-Medium" w:cs="DINRoundOT-Medium"/>
                <w:bCs/>
                <w:sz w:val="18"/>
                <w:szCs w:val="18"/>
              </w:rPr>
              <w:t>s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to assist in invoice query resolution </w:t>
            </w:r>
          </w:p>
          <w:p w14:paraId="152FE34D" w14:textId="66C8183B" w:rsidR="00F85041" w:rsidRPr="003A05EB" w:rsidRDefault="001958BD" w:rsidP="000C01BB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Build and maintain </w:t>
            </w:r>
            <w:r w:rsidR="00786436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strong 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relationships with suppliers to </w:t>
            </w:r>
            <w:r w:rsidR="007B7C61">
              <w:rPr>
                <w:rFonts w:ascii="DINRoundOT-Medium" w:hAnsi="DINRoundOT-Medium" w:cs="DINRoundOT-Medium"/>
                <w:bCs/>
                <w:sz w:val="18"/>
                <w:szCs w:val="18"/>
              </w:rPr>
              <w:t>facilitate excellent service to RAC customers</w:t>
            </w:r>
          </w:p>
          <w:p w14:paraId="2C77F0FB" w14:textId="77777777" w:rsidR="00D02188" w:rsidRPr="003A05EB" w:rsidRDefault="00D02188" w:rsidP="00D02188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  <w:highlight w:val="yellow"/>
              </w:rPr>
            </w:pPr>
          </w:p>
          <w:p w14:paraId="588355FD" w14:textId="71AC1A9A" w:rsidR="00D02188" w:rsidRPr="003A05EB" w:rsidRDefault="00D02188" w:rsidP="00D02188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Payment Processing</w:t>
            </w:r>
          </w:p>
          <w:p w14:paraId="3621A42C" w14:textId="65776B25" w:rsidR="006F2DE8" w:rsidRDefault="006F2DE8" w:rsidP="006F2DE8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Process customer </w:t>
            </w:r>
            <w:r w:rsidR="007D742A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card </w:t>
            </w: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payments over the telephone</w:t>
            </w:r>
            <w:r w:rsidR="007233C7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 </w:t>
            </w:r>
          </w:p>
          <w:p w14:paraId="1746C270" w14:textId="6FB3996E" w:rsidR="00DD2AD1" w:rsidRDefault="00DD2AD1" w:rsidP="006F2DE8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Set up and manage direct debit authorities</w:t>
            </w:r>
            <w:r w:rsidR="00945945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through the accurate entering of data into the relevant payment platforms</w:t>
            </w:r>
          </w:p>
          <w:p w14:paraId="3020BDAB" w14:textId="57C43B2B" w:rsidR="00BA7BD4" w:rsidRPr="003A05EB" w:rsidRDefault="00BA7BD4" w:rsidP="006F2DE8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lastRenderedPageBreak/>
              <w:t xml:space="preserve"> Follow all </w:t>
            </w:r>
            <w:r w:rsidR="00983980">
              <w:rPr>
                <w:rFonts w:ascii="DINRoundOT-Medium" w:hAnsi="DINRoundOT-Medium" w:cs="DINRoundOT-Medium"/>
                <w:bCs/>
                <w:sz w:val="18"/>
                <w:szCs w:val="18"/>
              </w:rPr>
              <w:t>data protection processes to ensure th</w:t>
            </w:r>
            <w:r w:rsidR="00452124">
              <w:rPr>
                <w:rFonts w:ascii="DINRoundOT-Medium" w:hAnsi="DINRoundOT-Medium" w:cs="DINRoundOT-Medium"/>
                <w:bCs/>
                <w:sz w:val="18"/>
                <w:szCs w:val="18"/>
              </w:rPr>
              <w:t>at customer financial</w:t>
            </w:r>
            <w:r w:rsidR="009B4EF7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data is handled in line with RAC policies</w:t>
            </w:r>
            <w:r w:rsidR="00983980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</w:p>
          <w:p w14:paraId="67863DC7" w14:textId="23FCD91B" w:rsidR="006F2DE8" w:rsidRPr="003A05EB" w:rsidRDefault="006F2DE8" w:rsidP="006F2DE8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All payments to be monitored and accurately allocated on a timely basis </w:t>
            </w:r>
          </w:p>
          <w:p w14:paraId="16E6FE54" w14:textId="5868A416" w:rsidR="00001D7A" w:rsidRPr="003A05EB" w:rsidRDefault="00001D7A" w:rsidP="006F2DE8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Reconcile payments and update customer accounts accordingly </w:t>
            </w:r>
          </w:p>
          <w:p w14:paraId="03566126" w14:textId="77777777" w:rsidR="00D02188" w:rsidRPr="003A05EB" w:rsidRDefault="00D02188" w:rsidP="00D02188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  <w:highlight w:val="yellow"/>
              </w:rPr>
            </w:pPr>
          </w:p>
          <w:p w14:paraId="64066710" w14:textId="77777777" w:rsidR="002846E5" w:rsidRPr="003A05EB" w:rsidRDefault="002846E5" w:rsidP="002846E5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Polices and Process </w:t>
            </w:r>
          </w:p>
          <w:p w14:paraId="2D004506" w14:textId="77777777" w:rsidR="0068074C" w:rsidRDefault="002846E5" w:rsidP="002846E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="00F37882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Have a good working knowledge of RAC’s financial platform, Agresso. Be able to interpret </w:t>
            </w:r>
            <w:r w:rsidR="002B6D00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accounts to understand historical transactions </w:t>
            </w:r>
            <w:r w:rsidR="0068074C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and respond to queries. </w:t>
            </w:r>
          </w:p>
          <w:p w14:paraId="64ACB3CA" w14:textId="4B4B90D6" w:rsidR="002846E5" w:rsidRPr="003A05EB" w:rsidRDefault="00841CF6" w:rsidP="002846E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Create and maintain </w:t>
            </w:r>
            <w:r w:rsidR="002846E5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accurate process documentation</w:t>
            </w: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for own customer portfolio</w:t>
            </w:r>
          </w:p>
          <w:p w14:paraId="507A4A90" w14:textId="19E8BC57" w:rsidR="002846E5" w:rsidRDefault="002846E5" w:rsidP="002846E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Manage enquiries appropriately. Investigating thoroughly to give the right customer and RAC outcome</w:t>
            </w:r>
          </w:p>
          <w:p w14:paraId="45A9C377" w14:textId="6A7E36D4" w:rsidR="00887E26" w:rsidRDefault="00887E26" w:rsidP="002846E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Liaise with internal departments and Account Managers/RAC Product Owners</w:t>
            </w:r>
            <w:r w:rsidR="00C249BA">
              <w:rPr>
                <w:rFonts w:ascii="DINRoundOT-Medium" w:hAnsi="DINRoundOT-Medium" w:cs="DINRoundOT-Medium"/>
                <w:bCs/>
                <w:sz w:val="18"/>
                <w:szCs w:val="18"/>
              </w:rPr>
              <w:t>/RAC Business Managers</w:t>
            </w: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to resolve customer queries and payment disputes. Understanding when it is appropriate to refer a situation and seek assistance. Provide detail and reasoning for own recommendations for resolution. </w:t>
            </w:r>
          </w:p>
          <w:p w14:paraId="78C4D42F" w14:textId="55B34644" w:rsidR="008A296F" w:rsidRDefault="008A296F" w:rsidP="002846E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Plan and organise own tasks to achieve both RAC and customer objectives </w:t>
            </w:r>
          </w:p>
          <w:p w14:paraId="666E4ED1" w14:textId="2A1CED7F" w:rsidR="007A12E9" w:rsidRDefault="007A12E9" w:rsidP="002846E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Follow processes for handling </w:t>
            </w:r>
            <w:r w:rsidR="001104A2">
              <w:rPr>
                <w:rFonts w:ascii="DINRoundOT-Medium" w:hAnsi="DINRoundOT-Medium" w:cs="DINRoundOT-Medium"/>
                <w:bCs/>
                <w:sz w:val="18"/>
                <w:szCs w:val="18"/>
              </w:rPr>
              <w:t>customers that are insolvent, u</w:t>
            </w:r>
            <w:r w:rsidR="00DD2AD1">
              <w:rPr>
                <w:rFonts w:ascii="DINRoundOT-Medium" w:hAnsi="DINRoundOT-Medium" w:cs="DINRoundOT-Medium"/>
                <w:bCs/>
                <w:sz w:val="18"/>
                <w:szCs w:val="18"/>
              </w:rPr>
              <w:t>s</w:t>
            </w:r>
            <w:r w:rsidR="001104A2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ing </w:t>
            </w:r>
            <w:r w:rsidR="00DD2AD1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relevant data sources i.e. Companies House </w:t>
            </w:r>
          </w:p>
          <w:p w14:paraId="13FD5A7F" w14:textId="34BF73AE" w:rsidR="004C6652" w:rsidRPr="00887E26" w:rsidRDefault="00D603A4" w:rsidP="00887E26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Once internal collections processes have been exhausted, </w:t>
            </w:r>
            <w:r w:rsidR="00495BCB">
              <w:rPr>
                <w:rFonts w:ascii="DINRoundOT-Medium" w:hAnsi="DINRoundOT-Medium" w:cs="DINRoundOT-Medium"/>
                <w:bCs/>
                <w:sz w:val="18"/>
                <w:szCs w:val="18"/>
              </w:rPr>
              <w:t>assist in providing</w:t>
            </w:r>
            <w:r w:rsidR="00232137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="00495BC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information or </w:t>
            </w:r>
            <w:r w:rsidR="00232137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undertake the preparation of files to allow the referral of the debt to a third party collection agent </w:t>
            </w:r>
            <w:r w:rsidR="00495BC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</w:p>
          <w:p w14:paraId="7E8B4BA7" w14:textId="1297BA0A" w:rsidR="002846E5" w:rsidRPr="003A05EB" w:rsidRDefault="002846E5" w:rsidP="002846E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Continually assess and improve </w:t>
            </w:r>
            <w:r w:rsidR="00F30AC5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customer </w:t>
            </w: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processes</w:t>
            </w:r>
            <w:r w:rsidR="00F30AC5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</w:t>
            </w: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>to enhance efficiency and accuracy</w:t>
            </w:r>
          </w:p>
          <w:p w14:paraId="43CC37F0" w14:textId="2A7063B4" w:rsidR="002846E5" w:rsidRDefault="00E3628A" w:rsidP="002846E5">
            <w:pPr>
              <w:pStyle w:val="ListParagraph"/>
              <w:numPr>
                <w:ilvl w:val="0"/>
                <w:numId w:val="14"/>
              </w:num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Undertake relevant training and essential learning to be complaint </w:t>
            </w:r>
            <w:r w:rsidR="002846E5" w:rsidRPr="003A05EB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with business regulations and industry standards </w:t>
            </w:r>
          </w:p>
          <w:p w14:paraId="3057DDFC" w14:textId="7BA1CE4B" w:rsidR="00536BAB" w:rsidRPr="00B34034" w:rsidRDefault="00536BAB" w:rsidP="00536BAB">
            <w:pPr>
              <w:tabs>
                <w:tab w:val="left" w:pos="432"/>
              </w:tabs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34034">
              <w:rPr>
                <w:rFonts w:ascii="DINRoundOT-Medium" w:hAnsi="DINRoundOT-Medium" w:cs="DINRoundOT-Medium"/>
                <w:bCs/>
                <w:sz w:val="18"/>
                <w:szCs w:val="18"/>
              </w:rPr>
              <w:t>Other</w:t>
            </w:r>
          </w:p>
          <w:p w14:paraId="6A4F5C9B" w14:textId="1719B4FD" w:rsidR="003C00DD" w:rsidRPr="00B34034" w:rsidRDefault="00536BAB" w:rsidP="007E4E8F">
            <w:pPr>
              <w:pStyle w:val="ListParagraph"/>
              <w:numPr>
                <w:ilvl w:val="0"/>
                <w:numId w:val="14"/>
              </w:numPr>
              <w:shd w:val="clear" w:color="auto" w:fill="FFFFFF"/>
              <w:tabs>
                <w:tab w:val="left" w:pos="432"/>
              </w:tabs>
              <w:rPr>
                <w:rFonts w:ascii="Calibri" w:hAnsi="Calibri" w:cs="Calibri"/>
                <w:color w:val="333333"/>
                <w:sz w:val="22"/>
                <w:szCs w:val="22"/>
              </w:rPr>
            </w:pPr>
            <w:r w:rsidRPr="00B34034">
              <w:rPr>
                <w:rFonts w:ascii="DINRoundOT-Medium" w:hAnsi="DINRoundOT-Medium" w:cs="DINRoundOT-Medium"/>
                <w:bCs/>
                <w:sz w:val="18"/>
                <w:szCs w:val="18"/>
              </w:rPr>
              <w:t>Provide cover for other team members as required</w:t>
            </w:r>
          </w:p>
          <w:p w14:paraId="09D07065" w14:textId="77777777" w:rsidR="003C00DD" w:rsidRPr="00B34034" w:rsidRDefault="003C00DD" w:rsidP="00DD2E62">
            <w:pPr>
              <w:pStyle w:val="NormalWeb"/>
              <w:shd w:val="clear" w:color="auto" w:fill="FFFFFF"/>
              <w:spacing w:before="0" w:beforeAutospacing="0" w:after="0" w:afterAutospacing="0"/>
              <w:ind w:left="720" w:hanging="360"/>
              <w:rPr>
                <w:rFonts w:ascii="Roboto" w:hAnsi="Roboto"/>
                <w:color w:val="333333"/>
                <w:sz w:val="22"/>
                <w:szCs w:val="22"/>
              </w:rPr>
            </w:pPr>
          </w:p>
          <w:p w14:paraId="35983F51" w14:textId="77777777" w:rsidR="003C00DD" w:rsidRDefault="003C00DD" w:rsidP="00245B27">
            <w:pPr>
              <w:pStyle w:val="NormalWeb"/>
              <w:shd w:val="clear" w:color="auto" w:fill="FFFFFF"/>
              <w:spacing w:before="0" w:beforeAutospacing="0" w:after="0" w:afterAutospacing="0"/>
              <w:ind w:left="720" w:hanging="360"/>
              <w:jc w:val="both"/>
              <w:rPr>
                <w:rFonts w:ascii="Roboto" w:hAnsi="Roboto"/>
                <w:color w:val="333333"/>
                <w:sz w:val="22"/>
                <w:szCs w:val="22"/>
                <w:highlight w:val="yellow"/>
              </w:rPr>
            </w:pPr>
          </w:p>
          <w:p w14:paraId="1BCA0F5B" w14:textId="77777777" w:rsidR="003370E2" w:rsidRDefault="003370E2" w:rsidP="003370E2">
            <w:pPr>
              <w:pStyle w:val="Default"/>
              <w:jc w:val="both"/>
              <w:rPr>
                <w:color w:val="auto"/>
              </w:rPr>
            </w:pPr>
          </w:p>
          <w:p w14:paraId="2352CDB4" w14:textId="77777777" w:rsidR="00E10F12" w:rsidRDefault="00E10F12" w:rsidP="00E10F12">
            <w:pPr>
              <w:pStyle w:val="Default"/>
              <w:jc w:val="both"/>
              <w:rPr>
                <w:color w:val="auto"/>
              </w:rPr>
            </w:pPr>
          </w:p>
          <w:p w14:paraId="512C2ECD" w14:textId="06DEBAF8" w:rsidR="00245B27" w:rsidRPr="003A05EB" w:rsidRDefault="00245B27" w:rsidP="008A296F">
            <w:pPr>
              <w:pStyle w:val="Default"/>
              <w:jc w:val="both"/>
              <w:rPr>
                <w:rFonts w:ascii="DINRoundOT-Medium" w:hAnsi="DINRoundOT-Medium" w:cs="DINRoundOT-Medium"/>
                <w:bCs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14:paraId="11D83FE2" w14:textId="6AAC20FA" w:rsidR="00083C27" w:rsidRPr="00BA151E" w:rsidRDefault="00083C27" w:rsidP="000D041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lastRenderedPageBreak/>
              <w:t>Experience of working in a billing and collections</w:t>
            </w:r>
            <w:r w:rsidR="00A7690A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, </w:t>
            </w:r>
            <w:r w:rsidR="00763CF6">
              <w:rPr>
                <w:rFonts w:ascii="DINRoundOT-Medium" w:hAnsi="DINRoundOT-Medium" w:cs="DINRoundOT-Medium"/>
                <w:bCs/>
                <w:sz w:val="18"/>
                <w:szCs w:val="18"/>
              </w:rPr>
              <w:t>accounting,</w:t>
            </w:r>
            <w:r w:rsidR="00A7690A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or finance </w:t>
            </w: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function </w:t>
            </w:r>
          </w:p>
          <w:p w14:paraId="30178750" w14:textId="39CF5B81" w:rsidR="00083C27" w:rsidRPr="00BA151E" w:rsidRDefault="00083C27" w:rsidP="000D041F">
            <w:pPr>
              <w:pStyle w:val="ListParagraph"/>
              <w:numPr>
                <w:ilvl w:val="0"/>
                <w:numId w:val="15"/>
              </w:numPr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Experience of </w:t>
            </w:r>
            <w:r w:rsidR="00BE33DD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working to individual, team and departmental </w:t>
            </w: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targets </w:t>
            </w:r>
          </w:p>
          <w:p w14:paraId="11AEC31C" w14:textId="77777777" w:rsidR="00083C27" w:rsidRPr="00BA151E" w:rsidRDefault="00083C27" w:rsidP="000D041F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An understanding of financial principles and billing software</w:t>
            </w:r>
          </w:p>
          <w:p w14:paraId="787FC1BD" w14:textId="6B0B121A" w:rsidR="00083C27" w:rsidRPr="00BA151E" w:rsidRDefault="00083C27" w:rsidP="000D041F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Ability to build relationships and communicate effectively with customers  </w:t>
            </w:r>
          </w:p>
          <w:p w14:paraId="0996D0ED" w14:textId="7A24B008" w:rsidR="00203336" w:rsidRDefault="00083C27" w:rsidP="000D041F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>De</w:t>
            </w:r>
            <w:r w:rsidR="00203336">
              <w:rPr>
                <w:rFonts w:ascii="DINRoundOT-Medium" w:hAnsi="DINRoundOT-Medium" w:cs="DINRoundOT-Medium"/>
                <w:bCs/>
                <w:sz w:val="18"/>
                <w:szCs w:val="18"/>
              </w:rPr>
              <w:t>tail oriented with a high level of accuracy in data entry and record keeping</w:t>
            </w:r>
          </w:p>
          <w:p w14:paraId="33D4616B" w14:textId="03DD6CA7" w:rsidR="00763CF6" w:rsidRPr="00BA151E" w:rsidRDefault="00763CF6" w:rsidP="000D041F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Ability to work to tight  deadlines and prioritise your own workload </w:t>
            </w:r>
          </w:p>
          <w:p w14:paraId="441A29A2" w14:textId="77777777" w:rsidR="00131564" w:rsidRPr="00BA151E" w:rsidRDefault="00131564" w:rsidP="000D041F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Computer literate with a good working knowledge of MS Office applications </w:t>
            </w:r>
          </w:p>
          <w:p w14:paraId="1DEFF699" w14:textId="77777777" w:rsidR="000D041F" w:rsidRPr="00703A6F" w:rsidRDefault="000D041F" w:rsidP="000D041F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03A6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Understanding of different payment methods including credit card, BACS, direct debit and cheques.</w:t>
            </w:r>
          </w:p>
          <w:p w14:paraId="6808F806" w14:textId="77777777" w:rsidR="00763CF6" w:rsidRPr="00ED3142" w:rsidRDefault="00763CF6" w:rsidP="00ED3142">
            <w:pPr>
              <w:ind w:left="360"/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5838752E" w14:textId="3A22B90A" w:rsidR="00083C27" w:rsidRPr="00BA151E" w:rsidRDefault="00203336" w:rsidP="000D041F">
            <w:pPr>
              <w:pStyle w:val="ListParagraph"/>
              <w:numPr>
                <w:ilvl w:val="0"/>
                <w:numId w:val="15"/>
              </w:num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0811AA">
              <w:rPr>
                <w:rFonts w:ascii="DINRoundOT-Medium" w:hAnsi="DINRoundOT-Medium" w:cs="DINRoundOT-Medium"/>
                <w:bCs/>
                <w:sz w:val="18"/>
                <w:szCs w:val="18"/>
              </w:rPr>
              <w:t>De</w:t>
            </w:r>
            <w:r w:rsidR="00083C27" w:rsidRPr="000811AA">
              <w:rPr>
                <w:rFonts w:ascii="DINRoundOT-Medium" w:hAnsi="DINRoundOT-Medium" w:cs="DINRoundOT-Medium"/>
                <w:bCs/>
                <w:sz w:val="18"/>
                <w:szCs w:val="18"/>
              </w:rPr>
              <w:t>monstrable ability</w:t>
            </w:r>
            <w:r w:rsidR="000811AA" w:rsidRPr="000811AA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of evidence-based</w:t>
            </w:r>
            <w:r w:rsidR="00083C27" w:rsidRPr="000811AA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decision making and problem</w:t>
            </w:r>
            <w:r w:rsidR="00083C27" w:rsidRPr="00BA151E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solving </w:t>
            </w:r>
          </w:p>
          <w:p w14:paraId="512C2ED2" w14:textId="77777777" w:rsidR="007103A5" w:rsidRDefault="007103A5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761BE304" w14:textId="77777777" w:rsidR="000811AA" w:rsidRPr="00BA151E" w:rsidRDefault="000811AA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  <w:p w14:paraId="512C2ED3" w14:textId="77777777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>Qualifications/FSA:</w:t>
            </w:r>
          </w:p>
          <w:p w14:paraId="48717CB9" w14:textId="77777777" w:rsidR="00D24229" w:rsidRDefault="00D24229" w:rsidP="00D2422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Good working knowledge of FCA and financial compliance procedures </w:t>
            </w:r>
          </w:p>
          <w:p w14:paraId="44CAB1EE" w14:textId="77777777" w:rsidR="00D24229" w:rsidRDefault="00D24229" w:rsidP="00D2422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F18C071" w14:textId="73AD9E28" w:rsidR="00D24229" w:rsidRDefault="00D24229" w:rsidP="00D24229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Educated to GCSE level or equivalent </w:t>
            </w:r>
          </w:p>
          <w:p w14:paraId="512C2ED6" w14:textId="37563346" w:rsidR="007103A5" w:rsidRPr="00BA151E" w:rsidRDefault="007103A5" w:rsidP="000C0050">
            <w:p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</w:p>
        </w:tc>
        <w:tc>
          <w:tcPr>
            <w:tcW w:w="2232" w:type="dxa"/>
            <w:shd w:val="clear" w:color="auto" w:fill="auto"/>
          </w:tcPr>
          <w:p w14:paraId="21E02705" w14:textId="77777777" w:rsidR="000811AA" w:rsidRDefault="000811AA" w:rsidP="00B86B74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33573AA0" w14:textId="1513563D" w:rsidR="00B86B74" w:rsidRPr="006B28E7" w:rsidRDefault="00B86B74" w:rsidP="00B86B74">
            <w:pPr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6B28E7">
              <w:rPr>
                <w:rFonts w:ascii="DINRoundOT-Medium" w:hAnsi="DINRoundOT-Medium" w:cs="DINRoundOT-Medium"/>
                <w:sz w:val="18"/>
                <w:szCs w:val="18"/>
              </w:rPr>
              <w:t xml:space="preserve">Customer Focus – Level 2 </w:t>
            </w:r>
          </w:p>
          <w:p w14:paraId="3470DCD3" w14:textId="77777777" w:rsidR="00B86B74" w:rsidRDefault="00B86B74" w:rsidP="00B86B74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1C4178B0" w14:textId="77777777" w:rsidR="00B86B74" w:rsidRPr="006B28E7" w:rsidRDefault="00B86B74" w:rsidP="00B86B74">
            <w:pPr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6B28E7">
              <w:rPr>
                <w:rFonts w:ascii="DINRoundOT-Medium" w:hAnsi="DINRoundOT-Medium" w:cs="DINRoundOT-Medium"/>
                <w:sz w:val="18"/>
                <w:szCs w:val="18"/>
              </w:rPr>
              <w:t xml:space="preserve">Judgement and Decision Making – Level 2 </w:t>
            </w:r>
          </w:p>
          <w:p w14:paraId="16BFCB56" w14:textId="77777777" w:rsidR="00B86B74" w:rsidRDefault="00B86B74" w:rsidP="00B86B74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6E85C16" w14:textId="0B8565D6" w:rsidR="00B86B74" w:rsidRPr="006B28E7" w:rsidRDefault="00B86B74" w:rsidP="00B86B74">
            <w:pPr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6B28E7">
              <w:rPr>
                <w:rFonts w:ascii="DINRoundOT-Medium" w:hAnsi="DINRoundOT-Medium" w:cs="DINRoundOT-Medium"/>
                <w:sz w:val="18"/>
                <w:szCs w:val="18"/>
              </w:rPr>
              <w:t xml:space="preserve">Achievement Drive – Level </w:t>
            </w:r>
            <w:r w:rsidR="006D6A7F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2B219A86" w14:textId="77777777" w:rsidR="00B86B74" w:rsidRDefault="00B86B74" w:rsidP="00B86B74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4331DB0D" w14:textId="01F27360" w:rsidR="00B86B74" w:rsidRPr="006B28E7" w:rsidRDefault="00B86B74" w:rsidP="00B86B74">
            <w:pPr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6B28E7">
              <w:rPr>
                <w:rFonts w:ascii="DINRoundOT-Medium" w:hAnsi="DINRoundOT-Medium" w:cs="DINRoundOT-Medium"/>
                <w:sz w:val="18"/>
                <w:szCs w:val="18"/>
              </w:rPr>
              <w:t xml:space="preserve">Continuous Improvement – Level </w:t>
            </w:r>
            <w:r w:rsidR="006D6A7F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6AAD496D" w14:textId="77777777" w:rsidR="00B86B74" w:rsidRDefault="00B86B74" w:rsidP="00B86B74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0F0BC45C" w14:textId="77777777" w:rsidR="00800917" w:rsidRDefault="00B86B74" w:rsidP="00B86B74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6B28E7">
              <w:rPr>
                <w:rFonts w:ascii="DINRoundOT-Medium" w:hAnsi="DINRoundOT-Medium" w:cs="DINRoundOT-Medium"/>
                <w:sz w:val="18"/>
                <w:szCs w:val="18"/>
              </w:rPr>
              <w:t xml:space="preserve">Team Working – Level </w:t>
            </w:r>
            <w:r w:rsidR="00800917">
              <w:rPr>
                <w:rFonts w:ascii="DINRoundOT-Medium" w:hAnsi="DINRoundOT-Medium" w:cs="DINRoundOT-Medium"/>
                <w:sz w:val="18"/>
                <w:szCs w:val="18"/>
              </w:rPr>
              <w:t>2</w:t>
            </w:r>
          </w:p>
          <w:p w14:paraId="7012D6FE" w14:textId="77777777" w:rsidR="00076ACF" w:rsidRDefault="00076ACF" w:rsidP="00B86B74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0781FCB" w14:textId="1B623E7D" w:rsidR="00076ACF" w:rsidRDefault="00076ACF" w:rsidP="00B86B74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Building relationships – Level 2</w:t>
            </w:r>
          </w:p>
          <w:p w14:paraId="1DA8BEEB" w14:textId="77777777" w:rsidR="00800917" w:rsidRDefault="00800917" w:rsidP="00B86B74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14E6D449" w14:textId="5178AD9A" w:rsidR="00B86B74" w:rsidRPr="006B28E7" w:rsidRDefault="00B86B74" w:rsidP="00B86B74">
            <w:pPr>
              <w:rPr>
                <w:rFonts w:ascii="Arial Narrow" w:hAnsi="Arial Narrow" w:cs="Arial"/>
                <w:bCs/>
                <w:color w:val="808080"/>
                <w:sz w:val="16"/>
                <w:szCs w:val="16"/>
              </w:rPr>
            </w:pPr>
            <w:r w:rsidRPr="006B28E7">
              <w:rPr>
                <w:rFonts w:ascii="DINRoundOT-Medium" w:hAnsi="DINRoundOT-Medium" w:cs="DINRoundOT-Medium"/>
                <w:sz w:val="18"/>
                <w:szCs w:val="18"/>
              </w:rPr>
              <w:t xml:space="preserve">   </w:t>
            </w:r>
          </w:p>
          <w:p w14:paraId="512C2EDA" w14:textId="77777777" w:rsidR="007103A5" w:rsidRPr="00BA151E" w:rsidRDefault="007103A5" w:rsidP="007103A5">
            <w:pPr>
              <w:rPr>
                <w:rFonts w:ascii="DINRoundOT-Medium" w:hAnsi="DINRoundOT-Medium" w:cs="DINRoundOT-Medium"/>
                <w:bCs/>
                <w:color w:val="FF0000"/>
                <w:sz w:val="18"/>
                <w:szCs w:val="18"/>
              </w:rPr>
            </w:pPr>
          </w:p>
          <w:p w14:paraId="512C2EDF" w14:textId="77777777" w:rsidR="007103A5" w:rsidRPr="00BA151E" w:rsidRDefault="007103A5" w:rsidP="007103A5">
            <w:pPr>
              <w:rPr>
                <w:rFonts w:ascii="DINRoundOT-Medium" w:hAnsi="DINRoundOT-Medium" w:cs="DINRoundOT-Medium"/>
                <w:bCs/>
                <w:color w:val="FF0000"/>
                <w:sz w:val="18"/>
                <w:szCs w:val="18"/>
              </w:rPr>
            </w:pPr>
          </w:p>
          <w:p w14:paraId="512C2EE0" w14:textId="77777777" w:rsidR="007103A5" w:rsidRPr="00BA151E" w:rsidRDefault="007103A5" w:rsidP="007103A5">
            <w:pPr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</w:pPr>
            <w:r w:rsidRPr="00BA151E">
              <w:rPr>
                <w:rFonts w:ascii="DINRoundOT-Medium" w:hAnsi="DINRoundOT-Medium" w:cs="DINRoundOT-Medium"/>
                <w:bCs/>
                <w:color w:val="F79646" w:themeColor="accent6"/>
                <w:sz w:val="18"/>
                <w:szCs w:val="18"/>
              </w:rPr>
              <w:t>Values</w:t>
            </w:r>
          </w:p>
          <w:p w14:paraId="18037E08" w14:textId="77777777" w:rsidR="00787798" w:rsidRDefault="00787798" w:rsidP="0078779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Need to exhibit behaviours consistent with RAC values:</w:t>
            </w:r>
          </w:p>
          <w:p w14:paraId="5906C867" w14:textId="77777777" w:rsidR="00787798" w:rsidRDefault="00787798" w:rsidP="0078779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4430CE7" w14:textId="77777777" w:rsidR="00787798" w:rsidRPr="00183197" w:rsidRDefault="00787798" w:rsidP="0078779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83197">
              <w:rPr>
                <w:rFonts w:ascii="DINRoundOT-Medium" w:hAnsi="DINRoundOT-Medium" w:cs="DINRoundOT-Medium"/>
                <w:sz w:val="18"/>
                <w:szCs w:val="18"/>
              </w:rPr>
              <w:t>Handle It Together</w:t>
            </w:r>
          </w:p>
          <w:p w14:paraId="4B52F2ED" w14:textId="77777777" w:rsidR="00787798" w:rsidRPr="00183197" w:rsidRDefault="00787798" w:rsidP="0078779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83197">
              <w:rPr>
                <w:rFonts w:ascii="DINRoundOT-Medium" w:hAnsi="DINRoundOT-Medium" w:cs="DINRoundOT-Medium"/>
                <w:sz w:val="18"/>
                <w:szCs w:val="18"/>
              </w:rPr>
              <w:t>Exceptional Service</w:t>
            </w:r>
          </w:p>
          <w:p w14:paraId="483E556C" w14:textId="77777777" w:rsidR="00787798" w:rsidRPr="00183197" w:rsidRDefault="00787798" w:rsidP="0078779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83197">
              <w:rPr>
                <w:rFonts w:ascii="DINRoundOT-Medium" w:hAnsi="DINRoundOT-Medium" w:cs="DINRoundOT-Medium"/>
                <w:sz w:val="18"/>
                <w:szCs w:val="18"/>
              </w:rPr>
              <w:t>Raise The Bar</w:t>
            </w:r>
          </w:p>
          <w:p w14:paraId="1A5FFC95" w14:textId="77777777" w:rsidR="00787798" w:rsidRPr="00183197" w:rsidRDefault="00787798" w:rsidP="00787798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83197">
              <w:rPr>
                <w:rFonts w:ascii="DINRoundOT-Medium" w:hAnsi="DINRoundOT-Medium" w:cs="DINRoundOT-Medium"/>
                <w:sz w:val="18"/>
                <w:szCs w:val="18"/>
              </w:rPr>
              <w:t xml:space="preserve">Own It </w:t>
            </w:r>
          </w:p>
          <w:p w14:paraId="512C2EEF" w14:textId="6C9C5046" w:rsidR="007103A5" w:rsidRPr="00BA151E" w:rsidRDefault="007103A5" w:rsidP="00787798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</w:p>
        </w:tc>
      </w:tr>
    </w:tbl>
    <w:p w14:paraId="512C2EF1" w14:textId="77777777" w:rsidR="0048428E" w:rsidRPr="00BA151E" w:rsidRDefault="0048428E" w:rsidP="00146590">
      <w:pPr>
        <w:jc w:val="center"/>
        <w:rPr>
          <w:rFonts w:ascii="DINRoundOT-Medium" w:hAnsi="DINRoundOT-Medium" w:cs="DINRoundOT-Medium"/>
          <w:bCs/>
        </w:rPr>
      </w:pPr>
    </w:p>
    <w:sectPr w:rsidR="0048428E" w:rsidRPr="00BA151E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66BA5" w14:textId="77777777" w:rsidR="008C6137" w:rsidRDefault="008C6137">
      <w:r>
        <w:separator/>
      </w:r>
    </w:p>
  </w:endnote>
  <w:endnote w:type="continuationSeparator" w:id="0">
    <w:p w14:paraId="3AD7588A" w14:textId="77777777" w:rsidR="008C6137" w:rsidRDefault="008C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714B" w14:textId="77777777" w:rsidR="008C6137" w:rsidRDefault="008C6137">
      <w:r>
        <w:separator/>
      </w:r>
    </w:p>
  </w:footnote>
  <w:footnote w:type="continuationSeparator" w:id="0">
    <w:p w14:paraId="4FA5D461" w14:textId="77777777" w:rsidR="008C6137" w:rsidRDefault="008C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2EFA" w14:textId="716DC6BD" w:rsidR="007103A5" w:rsidRDefault="00472249" w:rsidP="00FA6763">
    <w:pPr>
      <w:pStyle w:val="Header"/>
      <w:jc w:val="right"/>
    </w:pPr>
    <w:r>
      <w:rPr>
        <w:noProof/>
        <w:lang w:val="en-US"/>
      </w:rPr>
      <w:drawing>
        <wp:inline distT="0" distB="0" distL="0" distR="0" wp14:anchorId="7F65778B" wp14:editId="1B6E28D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90F"/>
    <w:multiLevelType w:val="hybridMultilevel"/>
    <w:tmpl w:val="88CC7A76"/>
    <w:lvl w:ilvl="0" w:tplc="53C2C4FA">
      <w:start w:val="5"/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61412"/>
    <w:multiLevelType w:val="hybridMultilevel"/>
    <w:tmpl w:val="5FF22B96"/>
    <w:lvl w:ilvl="0" w:tplc="DA929C86">
      <w:numFmt w:val="bullet"/>
      <w:lvlText w:val="•"/>
      <w:lvlJc w:val="left"/>
      <w:pPr>
        <w:ind w:left="1440" w:hanging="72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CC0577"/>
    <w:multiLevelType w:val="hybridMultilevel"/>
    <w:tmpl w:val="F8904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6017052">
    <w:abstractNumId w:val="8"/>
  </w:num>
  <w:num w:numId="2" w16cid:durableId="370620129">
    <w:abstractNumId w:val="0"/>
  </w:num>
  <w:num w:numId="3" w16cid:durableId="1170870511">
    <w:abstractNumId w:val="10"/>
  </w:num>
  <w:num w:numId="4" w16cid:durableId="2041121596">
    <w:abstractNumId w:val="7"/>
  </w:num>
  <w:num w:numId="5" w16cid:durableId="1440686081">
    <w:abstractNumId w:val="14"/>
  </w:num>
  <w:num w:numId="6" w16cid:durableId="54088757">
    <w:abstractNumId w:val="3"/>
  </w:num>
  <w:num w:numId="7" w16cid:durableId="814758617">
    <w:abstractNumId w:val="4"/>
  </w:num>
  <w:num w:numId="8" w16cid:durableId="1885363526">
    <w:abstractNumId w:val="15"/>
  </w:num>
  <w:num w:numId="9" w16cid:durableId="1565483531">
    <w:abstractNumId w:val="12"/>
  </w:num>
  <w:num w:numId="10" w16cid:durableId="2115130590">
    <w:abstractNumId w:val="13"/>
  </w:num>
  <w:num w:numId="11" w16cid:durableId="1958291849">
    <w:abstractNumId w:val="9"/>
  </w:num>
  <w:num w:numId="12" w16cid:durableId="670571297">
    <w:abstractNumId w:val="1"/>
  </w:num>
  <w:num w:numId="13" w16cid:durableId="1585844207">
    <w:abstractNumId w:val="2"/>
  </w:num>
  <w:num w:numId="14" w16cid:durableId="1573659734">
    <w:abstractNumId w:val="5"/>
  </w:num>
  <w:num w:numId="15" w16cid:durableId="1353720897">
    <w:abstractNumId w:val="11"/>
  </w:num>
  <w:num w:numId="16" w16cid:durableId="4539074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01D7A"/>
    <w:rsid w:val="00021C02"/>
    <w:rsid w:val="00046BD3"/>
    <w:rsid w:val="00047A7F"/>
    <w:rsid w:val="00076ACF"/>
    <w:rsid w:val="000811AA"/>
    <w:rsid w:val="00083C27"/>
    <w:rsid w:val="000A2E4F"/>
    <w:rsid w:val="000A441F"/>
    <w:rsid w:val="000A6095"/>
    <w:rsid w:val="000B23DD"/>
    <w:rsid w:val="000B697C"/>
    <w:rsid w:val="000C0050"/>
    <w:rsid w:val="000C01BB"/>
    <w:rsid w:val="000D041F"/>
    <w:rsid w:val="000F4D13"/>
    <w:rsid w:val="001104A2"/>
    <w:rsid w:val="00114DBE"/>
    <w:rsid w:val="001228F5"/>
    <w:rsid w:val="00131564"/>
    <w:rsid w:val="00132C72"/>
    <w:rsid w:val="00134B7D"/>
    <w:rsid w:val="00146590"/>
    <w:rsid w:val="00147B18"/>
    <w:rsid w:val="001622CE"/>
    <w:rsid w:val="00185AEA"/>
    <w:rsid w:val="001958BD"/>
    <w:rsid w:val="001A6867"/>
    <w:rsid w:val="001F6B0A"/>
    <w:rsid w:val="00203336"/>
    <w:rsid w:val="00203E00"/>
    <w:rsid w:val="00232137"/>
    <w:rsid w:val="002348EB"/>
    <w:rsid w:val="00245B27"/>
    <w:rsid w:val="00257012"/>
    <w:rsid w:val="0026062C"/>
    <w:rsid w:val="002846E5"/>
    <w:rsid w:val="002A25A3"/>
    <w:rsid w:val="002B6D00"/>
    <w:rsid w:val="002C073B"/>
    <w:rsid w:val="002D4816"/>
    <w:rsid w:val="002E4FF1"/>
    <w:rsid w:val="00300379"/>
    <w:rsid w:val="00305776"/>
    <w:rsid w:val="00315C82"/>
    <w:rsid w:val="00322709"/>
    <w:rsid w:val="003370E2"/>
    <w:rsid w:val="003432B9"/>
    <w:rsid w:val="00346669"/>
    <w:rsid w:val="0035571C"/>
    <w:rsid w:val="003735FD"/>
    <w:rsid w:val="00376757"/>
    <w:rsid w:val="00377CA0"/>
    <w:rsid w:val="00395236"/>
    <w:rsid w:val="003A05EB"/>
    <w:rsid w:val="003A131D"/>
    <w:rsid w:val="003C00DD"/>
    <w:rsid w:val="003C1B49"/>
    <w:rsid w:val="003C3CFE"/>
    <w:rsid w:val="003D066D"/>
    <w:rsid w:val="003D5A9A"/>
    <w:rsid w:val="003E2265"/>
    <w:rsid w:val="003E4D4B"/>
    <w:rsid w:val="004033EB"/>
    <w:rsid w:val="00413BCF"/>
    <w:rsid w:val="00415650"/>
    <w:rsid w:val="004261E5"/>
    <w:rsid w:val="00452124"/>
    <w:rsid w:val="00472249"/>
    <w:rsid w:val="00482F5C"/>
    <w:rsid w:val="0048428E"/>
    <w:rsid w:val="00484910"/>
    <w:rsid w:val="00495BCB"/>
    <w:rsid w:val="004A33EA"/>
    <w:rsid w:val="004B176C"/>
    <w:rsid w:val="004B4B89"/>
    <w:rsid w:val="004C6652"/>
    <w:rsid w:val="004D28AC"/>
    <w:rsid w:val="004E0635"/>
    <w:rsid w:val="004E4B3B"/>
    <w:rsid w:val="004F2BA5"/>
    <w:rsid w:val="004F37BA"/>
    <w:rsid w:val="00503F31"/>
    <w:rsid w:val="00506BC9"/>
    <w:rsid w:val="00530C38"/>
    <w:rsid w:val="00536BAB"/>
    <w:rsid w:val="0054160C"/>
    <w:rsid w:val="00546B88"/>
    <w:rsid w:val="0054765B"/>
    <w:rsid w:val="00547D2F"/>
    <w:rsid w:val="005676AC"/>
    <w:rsid w:val="0057036B"/>
    <w:rsid w:val="00570919"/>
    <w:rsid w:val="00576D41"/>
    <w:rsid w:val="00584F30"/>
    <w:rsid w:val="005B4F29"/>
    <w:rsid w:val="005E5058"/>
    <w:rsid w:val="005E5E38"/>
    <w:rsid w:val="005F13C0"/>
    <w:rsid w:val="00605413"/>
    <w:rsid w:val="006566B1"/>
    <w:rsid w:val="00661FAB"/>
    <w:rsid w:val="00676CE8"/>
    <w:rsid w:val="0068074C"/>
    <w:rsid w:val="00694AAB"/>
    <w:rsid w:val="006B1DAC"/>
    <w:rsid w:val="006C4BD7"/>
    <w:rsid w:val="006D0EF0"/>
    <w:rsid w:val="006D3C52"/>
    <w:rsid w:val="006D5984"/>
    <w:rsid w:val="006D6A7F"/>
    <w:rsid w:val="006D7DF3"/>
    <w:rsid w:val="006E3E01"/>
    <w:rsid w:val="006F1BF8"/>
    <w:rsid w:val="006F2DE8"/>
    <w:rsid w:val="006F5715"/>
    <w:rsid w:val="00707374"/>
    <w:rsid w:val="007103A5"/>
    <w:rsid w:val="00722C68"/>
    <w:rsid w:val="007233C7"/>
    <w:rsid w:val="00727DAC"/>
    <w:rsid w:val="00734798"/>
    <w:rsid w:val="007404C0"/>
    <w:rsid w:val="00741667"/>
    <w:rsid w:val="00752B3D"/>
    <w:rsid w:val="00757B27"/>
    <w:rsid w:val="007639A1"/>
    <w:rsid w:val="00763CF6"/>
    <w:rsid w:val="00764F5E"/>
    <w:rsid w:val="00781D0C"/>
    <w:rsid w:val="00786436"/>
    <w:rsid w:val="00787798"/>
    <w:rsid w:val="007A12E9"/>
    <w:rsid w:val="007B0C62"/>
    <w:rsid w:val="007B0D25"/>
    <w:rsid w:val="007B366B"/>
    <w:rsid w:val="007B7C61"/>
    <w:rsid w:val="007D742A"/>
    <w:rsid w:val="007E4E8F"/>
    <w:rsid w:val="007F323A"/>
    <w:rsid w:val="007F5426"/>
    <w:rsid w:val="007F56C4"/>
    <w:rsid w:val="007F7D13"/>
    <w:rsid w:val="00800917"/>
    <w:rsid w:val="00807101"/>
    <w:rsid w:val="00812133"/>
    <w:rsid w:val="00841CF6"/>
    <w:rsid w:val="00851980"/>
    <w:rsid w:val="00863F76"/>
    <w:rsid w:val="00887E26"/>
    <w:rsid w:val="008A296F"/>
    <w:rsid w:val="008A6669"/>
    <w:rsid w:val="008B661F"/>
    <w:rsid w:val="008C4064"/>
    <w:rsid w:val="008C6137"/>
    <w:rsid w:val="008D0E3B"/>
    <w:rsid w:val="008D69ED"/>
    <w:rsid w:val="008E2FD2"/>
    <w:rsid w:val="00904285"/>
    <w:rsid w:val="00910DE4"/>
    <w:rsid w:val="00910EDE"/>
    <w:rsid w:val="00920D33"/>
    <w:rsid w:val="009367EF"/>
    <w:rsid w:val="00945945"/>
    <w:rsid w:val="00946278"/>
    <w:rsid w:val="00952BA3"/>
    <w:rsid w:val="0096034D"/>
    <w:rsid w:val="009758D1"/>
    <w:rsid w:val="00976F5A"/>
    <w:rsid w:val="00983980"/>
    <w:rsid w:val="009855A5"/>
    <w:rsid w:val="009947D3"/>
    <w:rsid w:val="009A2189"/>
    <w:rsid w:val="009A6880"/>
    <w:rsid w:val="009B2B0F"/>
    <w:rsid w:val="009B4EF7"/>
    <w:rsid w:val="009C391D"/>
    <w:rsid w:val="009C46C7"/>
    <w:rsid w:val="009C4835"/>
    <w:rsid w:val="009D1E33"/>
    <w:rsid w:val="009D243D"/>
    <w:rsid w:val="009E4E78"/>
    <w:rsid w:val="009F3C27"/>
    <w:rsid w:val="009F7960"/>
    <w:rsid w:val="00A019BA"/>
    <w:rsid w:val="00A131BF"/>
    <w:rsid w:val="00A203BF"/>
    <w:rsid w:val="00A22485"/>
    <w:rsid w:val="00A62810"/>
    <w:rsid w:val="00A7002A"/>
    <w:rsid w:val="00A72A7F"/>
    <w:rsid w:val="00A7690A"/>
    <w:rsid w:val="00A80529"/>
    <w:rsid w:val="00A8542B"/>
    <w:rsid w:val="00AA69C1"/>
    <w:rsid w:val="00AC47BD"/>
    <w:rsid w:val="00AD142B"/>
    <w:rsid w:val="00AE6C93"/>
    <w:rsid w:val="00AF33F7"/>
    <w:rsid w:val="00B031F1"/>
    <w:rsid w:val="00B05AC7"/>
    <w:rsid w:val="00B34034"/>
    <w:rsid w:val="00B416FC"/>
    <w:rsid w:val="00B43EA9"/>
    <w:rsid w:val="00B54A2F"/>
    <w:rsid w:val="00B75CEB"/>
    <w:rsid w:val="00B80E4C"/>
    <w:rsid w:val="00B86B74"/>
    <w:rsid w:val="00B87735"/>
    <w:rsid w:val="00B96444"/>
    <w:rsid w:val="00BA151E"/>
    <w:rsid w:val="00BA1BA1"/>
    <w:rsid w:val="00BA2807"/>
    <w:rsid w:val="00BA7BD4"/>
    <w:rsid w:val="00BB22F4"/>
    <w:rsid w:val="00BB50A0"/>
    <w:rsid w:val="00BB6E27"/>
    <w:rsid w:val="00BD287B"/>
    <w:rsid w:val="00BD4B4A"/>
    <w:rsid w:val="00BE33DD"/>
    <w:rsid w:val="00BF1C12"/>
    <w:rsid w:val="00BF7858"/>
    <w:rsid w:val="00C249BA"/>
    <w:rsid w:val="00C56B04"/>
    <w:rsid w:val="00C628ED"/>
    <w:rsid w:val="00C74A17"/>
    <w:rsid w:val="00C759DB"/>
    <w:rsid w:val="00C836EE"/>
    <w:rsid w:val="00C9265F"/>
    <w:rsid w:val="00C95106"/>
    <w:rsid w:val="00CC2F6E"/>
    <w:rsid w:val="00CC63AD"/>
    <w:rsid w:val="00CC6762"/>
    <w:rsid w:val="00CD4BBB"/>
    <w:rsid w:val="00CE3B86"/>
    <w:rsid w:val="00CE4718"/>
    <w:rsid w:val="00CE4751"/>
    <w:rsid w:val="00D02188"/>
    <w:rsid w:val="00D12B30"/>
    <w:rsid w:val="00D24229"/>
    <w:rsid w:val="00D350BB"/>
    <w:rsid w:val="00D47005"/>
    <w:rsid w:val="00D603A4"/>
    <w:rsid w:val="00D65CE5"/>
    <w:rsid w:val="00D86C66"/>
    <w:rsid w:val="00D87A61"/>
    <w:rsid w:val="00D929CB"/>
    <w:rsid w:val="00DA1E13"/>
    <w:rsid w:val="00DB28FD"/>
    <w:rsid w:val="00DC45B0"/>
    <w:rsid w:val="00DD2AD1"/>
    <w:rsid w:val="00DD2E62"/>
    <w:rsid w:val="00DD4624"/>
    <w:rsid w:val="00DE536D"/>
    <w:rsid w:val="00DF241D"/>
    <w:rsid w:val="00DF2F41"/>
    <w:rsid w:val="00E05460"/>
    <w:rsid w:val="00E10F12"/>
    <w:rsid w:val="00E14D3F"/>
    <w:rsid w:val="00E30365"/>
    <w:rsid w:val="00E30BC4"/>
    <w:rsid w:val="00E3163F"/>
    <w:rsid w:val="00E3628A"/>
    <w:rsid w:val="00E370BC"/>
    <w:rsid w:val="00E635D6"/>
    <w:rsid w:val="00E65CD1"/>
    <w:rsid w:val="00E70270"/>
    <w:rsid w:val="00EA580A"/>
    <w:rsid w:val="00ED3142"/>
    <w:rsid w:val="00EF7FF3"/>
    <w:rsid w:val="00F205C2"/>
    <w:rsid w:val="00F21229"/>
    <w:rsid w:val="00F30AC5"/>
    <w:rsid w:val="00F30CE2"/>
    <w:rsid w:val="00F32370"/>
    <w:rsid w:val="00F35514"/>
    <w:rsid w:val="00F373CF"/>
    <w:rsid w:val="00F37882"/>
    <w:rsid w:val="00F81EB4"/>
    <w:rsid w:val="00F85041"/>
    <w:rsid w:val="00F85B74"/>
    <w:rsid w:val="00F85CA9"/>
    <w:rsid w:val="00F87965"/>
    <w:rsid w:val="00F94887"/>
    <w:rsid w:val="00FA0580"/>
    <w:rsid w:val="00FA6763"/>
    <w:rsid w:val="00FB0020"/>
    <w:rsid w:val="00FC6B83"/>
    <w:rsid w:val="00FE7739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51E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3370E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4" ma:contentTypeDescription="Create a new document." ma:contentTypeScope="" ma:versionID="0bf898e0c62a669e3abe39cf1a6561b6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targetNamespace="http://schemas.microsoft.com/office/2006/metadata/properties" ma:root="true" ma:fieldsID="07837c2df89eb34b268d5dbaac2215e9" ns1:_="" ns2:_="">
    <xsd:import namespace="http://schemas.microsoft.com/sharepoint/v3"/>
    <xsd:import namespace="bf3ccb69-0089-4f49-b6f9-9f831077cb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B4BE0-F749-4E82-A74F-031C685E4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1112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Julia Darley</cp:lastModifiedBy>
  <cp:revision>183</cp:revision>
  <cp:lastPrinted>2011-06-08T07:02:00Z</cp:lastPrinted>
  <dcterms:created xsi:type="dcterms:W3CDTF">2023-10-12T13:16:00Z</dcterms:created>
  <dcterms:modified xsi:type="dcterms:W3CDTF">2023-10-24T15:50:00Z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