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255"/>
        <w:gridCol w:w="4107"/>
        <w:gridCol w:w="1421"/>
        <w:gridCol w:w="284"/>
        <w:gridCol w:w="1702"/>
        <w:gridCol w:w="1133"/>
        <w:gridCol w:w="425"/>
        <w:gridCol w:w="2819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33629587" w:rsidR="001A6867" w:rsidRPr="00CC6762" w:rsidRDefault="008B3656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Team Manager – Legal Advisory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249E25C1" w:rsidR="001A6867" w:rsidRPr="00CC6762" w:rsidRDefault="005E0F56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M</w:t>
            </w:r>
            <w:r w:rsidR="008B3656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arch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</w:t>
            </w:r>
            <w:r w:rsidR="008B3656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1925CC4C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  <w:r w:rsidR="00733B21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7D1FB0C8" w:rsidR="007103A5" w:rsidRPr="00CC6762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2EB71D0" w:rsidR="007103A5" w:rsidRPr="00CC6762" w:rsidRDefault="005E0F56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Legal Services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DC6DDC">
        <w:tc>
          <w:tcPr>
            <w:tcW w:w="2977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28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119" w:type="dxa"/>
            <w:gridSpan w:val="3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244" w:type="dxa"/>
            <w:gridSpan w:val="2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363CB2" w:rsidRPr="00472249" w14:paraId="512C2EF0" w14:textId="77777777" w:rsidTr="00DC6DDC">
        <w:tc>
          <w:tcPr>
            <w:tcW w:w="2977" w:type="dxa"/>
            <w:gridSpan w:val="2"/>
            <w:shd w:val="clear" w:color="auto" w:fill="auto"/>
          </w:tcPr>
          <w:p w14:paraId="512C2EA5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  <w:proofErr w:type="gramEnd"/>
          </w:p>
          <w:p w14:paraId="05E099D1" w14:textId="77777777" w:rsidR="00D14056" w:rsidRPr="00284766" w:rsidRDefault="00D14056" w:rsidP="00D14056">
            <w:pPr>
              <w:rPr>
                <w:rFonts w:ascii="Arial" w:hAnsi="Arial" w:cs="Arial"/>
                <w:sz w:val="16"/>
                <w:szCs w:val="16"/>
              </w:rPr>
            </w:pPr>
            <w:r w:rsidRPr="00284766">
              <w:rPr>
                <w:rFonts w:ascii="Arial" w:hAnsi="Arial" w:cs="Arial"/>
                <w:sz w:val="16"/>
                <w:szCs w:val="16"/>
              </w:rPr>
              <w:t>To lead and manage the daily operations and performance of the Legal Advisory Team, in line with internal policies and procedures and within regulatory framework for conduct of business.</w:t>
            </w:r>
          </w:p>
          <w:p w14:paraId="1479A006" w14:textId="77777777" w:rsidR="00D14056" w:rsidRPr="00284766" w:rsidRDefault="00D14056" w:rsidP="00D140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FCC965" w14:textId="77777777" w:rsidR="00D14056" w:rsidRPr="00764866" w:rsidRDefault="00D14056" w:rsidP="00D14056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284766">
              <w:rPr>
                <w:rFonts w:ascii="Arial" w:hAnsi="Arial" w:cs="Arial"/>
                <w:sz w:val="16"/>
                <w:szCs w:val="16"/>
              </w:rPr>
              <w:t>To ensure that all activities carried out with the customer being central to our processes</w:t>
            </w:r>
            <w:r w:rsidRPr="0076486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</w:t>
            </w:r>
          </w:p>
          <w:p w14:paraId="512C2EA8" w14:textId="083A1DD2" w:rsidR="00363CB2" w:rsidRDefault="00363CB2" w:rsidP="00363CB2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  <w:p w14:paraId="512C2EA9" w14:textId="6C2BCBA2" w:rsidR="00363CB2" w:rsidRPr="00CC676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  <w:r w:rsidR="00F72BF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F72BFA" w:rsidRPr="00F72BFA">
              <w:rPr>
                <w:rFonts w:ascii="DINRoundOT-Medium" w:hAnsi="DINRoundOT-Medium" w:cs="DINRoundOT-Medium"/>
                <w:sz w:val="18"/>
                <w:szCs w:val="18"/>
              </w:rPr>
              <w:t>Operations</w:t>
            </w:r>
          </w:p>
          <w:p w14:paraId="512C2EAA" w14:textId="7D2F3D21" w:rsidR="00363CB2" w:rsidRPr="00CC676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="00F72BF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Managing </w:t>
            </w:r>
            <w:r w:rsidR="00F72BFA" w:rsidRPr="00F72BFA">
              <w:rPr>
                <w:rFonts w:ascii="DINRoundOT-Medium" w:hAnsi="DINRoundOT-Medium" w:cs="DINRoundOT-Medium"/>
                <w:sz w:val="18"/>
                <w:szCs w:val="18"/>
              </w:rPr>
              <w:t>associated FTE costs</w:t>
            </w:r>
            <w:r w:rsidR="00AF2797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9F215C">
              <w:rPr>
                <w:rFonts w:ascii="DINRoundOT-Medium" w:hAnsi="DINRoundOT-Medium" w:cs="DINRoundOT-Medium"/>
                <w:sz w:val="18"/>
                <w:szCs w:val="18"/>
              </w:rPr>
              <w:t xml:space="preserve"> overview of supplier invoicing</w:t>
            </w:r>
            <w:r w:rsidR="00F72BF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512C2EAC" w14:textId="2F554B4B" w:rsidR="00363CB2" w:rsidRPr="00CC676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1B0C7912" w:rsidR="00363CB2" w:rsidRPr="00CC6762" w:rsidRDefault="00363CB2" w:rsidP="00363CB2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Financial:</w:t>
            </w:r>
          </w:p>
          <w:p w14:paraId="4501A517" w14:textId="77777777" w:rsidR="00CB2577" w:rsidRPr="00CB2577" w:rsidRDefault="00CB2577" w:rsidP="00CB2577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2577">
              <w:rPr>
                <w:rFonts w:ascii="DINRoundOT-Medium" w:hAnsi="DINRoundOT-Medium" w:cs="DINRoundOT-Medium"/>
                <w:sz w:val="18"/>
                <w:szCs w:val="18"/>
              </w:rPr>
              <w:t>All RAC Legal Services products and  provision of services, including white labelled products to corporate partners</w:t>
            </w:r>
          </w:p>
          <w:p w14:paraId="512C2EAF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363CB2" w:rsidRPr="0009311D" w:rsidRDefault="00363CB2" w:rsidP="00363CB2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09311D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2" w14:textId="6B0751EF" w:rsidR="00363CB2" w:rsidRDefault="00CB2577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Operations</w:t>
            </w:r>
            <w:r w:rsidR="00363CB2" w:rsidRPr="0009311D">
              <w:rPr>
                <w:rFonts w:ascii="DINRoundOT-Medium" w:hAnsi="DINRoundOT-Medium" w:cs="DINRoundOT-Medium"/>
                <w:sz w:val="18"/>
                <w:szCs w:val="18"/>
              </w:rPr>
              <w:t xml:space="preserve"> Manager</w:t>
            </w:r>
          </w:p>
          <w:p w14:paraId="12DF339D" w14:textId="77777777" w:rsidR="00CB2577" w:rsidRPr="00CC6762" w:rsidRDefault="00CB2577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42724C10" w:rsidR="00363CB2" w:rsidRPr="00CC676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5E0F56">
              <w:rPr>
                <w:rFonts w:ascii="DINRoundOT-Medium" w:hAnsi="DINRoundOT-Medium" w:cs="DINRoundOT-Medium"/>
                <w:sz w:val="18"/>
                <w:szCs w:val="18"/>
              </w:rPr>
              <w:t>All RAC Colleagues</w:t>
            </w:r>
          </w:p>
          <w:p w14:paraId="512C2EB5" w14:textId="5A825112" w:rsidR="00363CB2" w:rsidRPr="00363CB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CB2577" w:rsidRPr="00CB2577">
              <w:rPr>
                <w:rFonts w:ascii="DINRoundOT-Medium" w:hAnsi="DINRoundOT-Medium" w:cs="DINRoundOT-Medium"/>
                <w:sz w:val="18"/>
                <w:szCs w:val="18"/>
              </w:rPr>
              <w:t xml:space="preserve">Business partners and associated suppliers, RAC Customers and clients entitled by way of service provision, appropriate bodies to facilitate service delivery </w:t>
            </w:r>
            <w:proofErr w:type="gramStart"/>
            <w:r w:rsidR="00CB2577" w:rsidRPr="00CB2577">
              <w:rPr>
                <w:rFonts w:ascii="DINRoundOT-Medium" w:hAnsi="DINRoundOT-Medium" w:cs="DINRoundOT-Medium"/>
                <w:sz w:val="18"/>
                <w:szCs w:val="18"/>
              </w:rPr>
              <w:t>e.g.</w:t>
            </w:r>
            <w:proofErr w:type="gramEnd"/>
            <w:r w:rsidR="00CB2577" w:rsidRPr="00CB2577">
              <w:rPr>
                <w:rFonts w:ascii="DINRoundOT-Medium" w:hAnsi="DINRoundOT-Medium" w:cs="DINRoundOT-Medium"/>
                <w:sz w:val="18"/>
                <w:szCs w:val="18"/>
              </w:rPr>
              <w:t xml:space="preserve"> SRA, FCA etc</w:t>
            </w:r>
          </w:p>
          <w:p w14:paraId="512C2EB6" w14:textId="742FEFCF" w:rsidR="00363CB2" w:rsidRPr="00CC6762" w:rsidRDefault="00363CB2" w:rsidP="00363CB2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7D73AFEA" w14:textId="476B1492" w:rsidR="00363CB2" w:rsidRPr="00363CB2" w:rsidRDefault="00363CB2" w:rsidP="00363CB2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3C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145E4D" w14:textId="3806E4AC" w:rsidR="007D1950" w:rsidRPr="007D1950" w:rsidRDefault="007D1950" w:rsidP="007D1950">
            <w:pPr>
              <w:pStyle w:val="BodyTex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D19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To ensure the efficient and effective running of </w:t>
            </w:r>
            <w:r w:rsidR="00A43F3B">
              <w:rPr>
                <w:rFonts w:ascii="Arial" w:hAnsi="Arial" w:cs="Arial"/>
                <w:sz w:val="16"/>
                <w:szCs w:val="16"/>
                <w:lang w:eastAsia="en-US"/>
              </w:rPr>
              <w:t xml:space="preserve">the </w:t>
            </w:r>
            <w:r w:rsidRPr="007D19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Legal </w:t>
            </w:r>
            <w:r w:rsidR="00A43F3B">
              <w:rPr>
                <w:rFonts w:ascii="Arial" w:hAnsi="Arial" w:cs="Arial"/>
                <w:sz w:val="16"/>
                <w:szCs w:val="16"/>
                <w:lang w:eastAsia="en-US"/>
              </w:rPr>
              <w:t>Advisory</w:t>
            </w:r>
            <w:r w:rsidRPr="007D19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customer facing team. To achieve and exceed Legal Services minimum standards of performance whilst maximising opportunities to capitalise on revenue generating opportunities, whilst maintaining budgetary control of costs.</w:t>
            </w:r>
          </w:p>
          <w:p w14:paraId="2D2D392B" w14:textId="1AB4364B" w:rsidR="00363CB2" w:rsidRDefault="003E1859" w:rsidP="00363CB2">
            <w:pPr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Operational Performance</w:t>
            </w:r>
          </w:p>
          <w:p w14:paraId="4DCDDC57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To achieve and exceed Legal Services minimum standards of performance whilst maximising opportunities to capitalise on revenue generating opportunities.</w:t>
            </w:r>
          </w:p>
          <w:p w14:paraId="6D8AE552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Ensure the team delivers all necessary SLA’s and KPI’s measures.</w:t>
            </w:r>
          </w:p>
          <w:p w14:paraId="048C7454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 xml:space="preserve">Ensure the efficiencies and productivities of the team are being optimised, both </w:t>
            </w:r>
            <w:proofErr w:type="gramStart"/>
            <w:r w:rsidRPr="00AA1B38">
              <w:rPr>
                <w:rFonts w:ascii="Arial" w:hAnsi="Arial" w:cs="Arial"/>
                <w:sz w:val="16"/>
                <w:szCs w:val="16"/>
              </w:rPr>
              <w:t>through the use of</w:t>
            </w:r>
            <w:proofErr w:type="gramEnd"/>
            <w:r w:rsidRPr="00AA1B38">
              <w:rPr>
                <w:rFonts w:ascii="Arial" w:hAnsi="Arial" w:cs="Arial"/>
                <w:sz w:val="16"/>
                <w:szCs w:val="16"/>
              </w:rPr>
              <w:t xml:space="preserve"> systems, telephony and through individuals’ personal performances</w:t>
            </w:r>
          </w:p>
          <w:p w14:paraId="1B575F9C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Support the Operational Manager with the delivery of requirements, such as our Business Continuity Plan (BCP) any Implementation plans, new partnership accounts.</w:t>
            </w:r>
          </w:p>
          <w:p w14:paraId="01FB93C8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Ensure the right balance of expertise is maintained within the team. Own and manage the recruitment process,  support our HR function.</w:t>
            </w:r>
          </w:p>
          <w:p w14:paraId="2B61044C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Ensure resourcing is effectively maintained and optimised. Match the working shift patterns of the team, to enable the appropriate management is in place during our opening hours as required.</w:t>
            </w:r>
          </w:p>
          <w:p w14:paraId="43EEAAA2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Support the work of the Quality Assurance Manager by supporting completion of agreed levels of monitoring (FCA call quality, TCF, complaint cases) . Work with the Quality Assurance Manager/s to implement quality/compliance improvements, and drive performance.</w:t>
            </w:r>
          </w:p>
          <w:p w14:paraId="3614DD39" w14:textId="77777777" w:rsidR="00AA1B38" w:rsidRPr="00AA1B38" w:rsidRDefault="00AA1B38" w:rsidP="00AA1B38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AA1B38">
              <w:rPr>
                <w:rFonts w:ascii="Arial" w:hAnsi="Arial" w:cs="Arial"/>
                <w:sz w:val="16"/>
                <w:szCs w:val="16"/>
              </w:rPr>
              <w:t>Use MI to understand where efficiency gains and improvements can be made, managing through to delivery with the Team Managers and their teams</w:t>
            </w:r>
          </w:p>
          <w:p w14:paraId="0E9395D8" w14:textId="11BBD465" w:rsidR="00E03579" w:rsidRDefault="00E03579" w:rsidP="00363C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812950" w14:textId="484844D1" w:rsidR="00E03579" w:rsidRDefault="00E03579" w:rsidP="00E03579">
            <w:pPr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Direct Reports</w:t>
            </w:r>
          </w:p>
          <w:p w14:paraId="4799A827" w14:textId="57767502" w:rsidR="0070784A" w:rsidRDefault="0070784A" w:rsidP="0070784A">
            <w:pPr>
              <w:pStyle w:val="ListParagraph"/>
              <w:numPr>
                <w:ilvl w:val="0"/>
                <w:numId w:val="18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70784A">
              <w:rPr>
                <w:rFonts w:ascii="Arial" w:hAnsi="Arial" w:cs="Arial"/>
                <w:sz w:val="16"/>
                <w:szCs w:val="16"/>
              </w:rPr>
              <w:t xml:space="preserve">Informing, developing, motivating and coaching </w:t>
            </w:r>
            <w:proofErr w:type="gramStart"/>
            <w:r w:rsidRPr="0070784A">
              <w:rPr>
                <w:rFonts w:ascii="Arial" w:hAnsi="Arial" w:cs="Arial"/>
                <w:sz w:val="16"/>
                <w:szCs w:val="16"/>
              </w:rPr>
              <w:t>DR’s</w:t>
            </w:r>
            <w:proofErr w:type="gramEnd"/>
            <w:r w:rsidRPr="0070784A">
              <w:rPr>
                <w:rFonts w:ascii="Arial" w:hAnsi="Arial" w:cs="Arial"/>
                <w:sz w:val="16"/>
                <w:szCs w:val="16"/>
              </w:rPr>
              <w:t xml:space="preserve"> to ensure that they have the knowledge and skill to lead their own team to deliver agreed targets and objectives, in addition to delivering a service that strives to exceed customer expectations.</w:t>
            </w:r>
          </w:p>
          <w:p w14:paraId="52C877E2" w14:textId="77777777" w:rsidR="009333D1" w:rsidRPr="009333D1" w:rsidRDefault="009333D1" w:rsidP="009333D1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9333D1">
              <w:rPr>
                <w:rFonts w:ascii="Arial" w:hAnsi="Arial" w:cs="Arial"/>
                <w:sz w:val="16"/>
                <w:szCs w:val="16"/>
              </w:rPr>
              <w:t>Own and drive the Training and Development programme and its modules, both for new starters and existing staff, helping develop our team/reduce attrition rates</w:t>
            </w:r>
          </w:p>
          <w:p w14:paraId="6CD4BBE1" w14:textId="77777777" w:rsidR="0070784A" w:rsidRPr="0070784A" w:rsidRDefault="0070784A" w:rsidP="0070784A">
            <w:pPr>
              <w:pStyle w:val="ListParagraph"/>
              <w:numPr>
                <w:ilvl w:val="0"/>
                <w:numId w:val="19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70784A">
              <w:rPr>
                <w:rFonts w:ascii="Arial" w:hAnsi="Arial" w:cs="Arial"/>
                <w:sz w:val="16"/>
                <w:szCs w:val="16"/>
              </w:rPr>
              <w:t xml:space="preserve">Ensure all colleagues have regular (monthly) performance reviews through 121’s, feedback and development plans.  Ensure these </w:t>
            </w:r>
          </w:p>
          <w:p w14:paraId="38388D2B" w14:textId="77777777" w:rsidR="0070784A" w:rsidRPr="0070784A" w:rsidRDefault="0070784A" w:rsidP="0070784A">
            <w:pPr>
              <w:pStyle w:val="ListParagraph"/>
              <w:numPr>
                <w:ilvl w:val="0"/>
                <w:numId w:val="19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70784A">
              <w:rPr>
                <w:rFonts w:ascii="Arial" w:hAnsi="Arial" w:cs="Arial"/>
                <w:sz w:val="16"/>
                <w:szCs w:val="16"/>
              </w:rPr>
              <w:lastRenderedPageBreak/>
              <w:t>are appropriate to meet the required standards of the role and that of the team.</w:t>
            </w:r>
          </w:p>
          <w:p w14:paraId="6C8C69C9" w14:textId="77777777" w:rsidR="0070784A" w:rsidRPr="0070784A" w:rsidRDefault="0070784A" w:rsidP="0070784A">
            <w:pPr>
              <w:pStyle w:val="ListParagraph"/>
              <w:numPr>
                <w:ilvl w:val="0"/>
                <w:numId w:val="19"/>
              </w:numPr>
              <w:ind w:left="315" w:hanging="142"/>
              <w:rPr>
                <w:rFonts w:ascii="Arial" w:hAnsi="Arial" w:cs="Arial"/>
                <w:sz w:val="16"/>
                <w:szCs w:val="16"/>
              </w:rPr>
            </w:pPr>
            <w:r w:rsidRPr="0070784A">
              <w:rPr>
                <w:rFonts w:ascii="Arial" w:hAnsi="Arial" w:cs="Arial"/>
                <w:sz w:val="16"/>
                <w:szCs w:val="16"/>
              </w:rPr>
              <w:t xml:space="preserve">Ensuring that own self and DR’s utilising performance review meetings to effectively communicate to improve morale, </w:t>
            </w:r>
            <w:proofErr w:type="gramStart"/>
            <w:r w:rsidRPr="0070784A">
              <w:rPr>
                <w:rFonts w:ascii="Arial" w:hAnsi="Arial" w:cs="Arial"/>
                <w:sz w:val="16"/>
                <w:szCs w:val="16"/>
              </w:rPr>
              <w:t>awareness</w:t>
            </w:r>
            <w:proofErr w:type="gramEnd"/>
            <w:r w:rsidRPr="0070784A">
              <w:rPr>
                <w:rFonts w:ascii="Arial" w:hAnsi="Arial" w:cs="Arial"/>
                <w:sz w:val="16"/>
                <w:szCs w:val="16"/>
              </w:rPr>
              <w:t xml:space="preserve"> and performance.  Undertake and support formal performance management for underperformance or poor conduct</w:t>
            </w:r>
          </w:p>
          <w:p w14:paraId="512C2ECD" w14:textId="323FD2A7" w:rsidR="00363CB2" w:rsidRPr="00363CB2" w:rsidRDefault="00363CB2" w:rsidP="0070784A">
            <w:pPr>
              <w:jc w:val="both"/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DFAB245" w14:textId="7462F394" w:rsidR="00363CB2" w:rsidRPr="005E0F56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</w:pPr>
            <w:r w:rsidRPr="005E0F56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lastRenderedPageBreak/>
              <w:t xml:space="preserve">Essential </w:t>
            </w:r>
            <w:proofErr w:type="spellStart"/>
            <w:r w:rsidRPr="005E0F56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Skills</w:t>
            </w:r>
            <w:proofErr w:type="spellEnd"/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 :</w:t>
            </w:r>
          </w:p>
          <w:p w14:paraId="3CE908E1" w14:textId="77777777" w:rsidR="00302A25" w:rsidRPr="00302A25" w:rsidRDefault="00302A25" w:rsidP="00302A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798B09" w14:textId="77777777" w:rsidR="00BC3A64" w:rsidRPr="00302A25" w:rsidRDefault="00BC3A64" w:rsidP="00BC3A64">
            <w:pPr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 xml:space="preserve">Law graduate (LLB and post graduate qualification </w:t>
            </w:r>
            <w:proofErr w:type="spellStart"/>
            <w:proofErr w:type="gramStart"/>
            <w:r w:rsidRPr="00302A2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proofErr w:type="gramEnd"/>
            <w:r w:rsidRPr="00302A25">
              <w:rPr>
                <w:rFonts w:ascii="Arial" w:hAnsi="Arial" w:cs="Arial"/>
                <w:sz w:val="16"/>
                <w:szCs w:val="16"/>
              </w:rPr>
              <w:t xml:space="preserve"> LLM, LPC/LSF or BVC) and/or equivalent legal/insurance qualification or allied industry gained work experience.</w:t>
            </w:r>
          </w:p>
          <w:p w14:paraId="503452AF" w14:textId="77777777" w:rsidR="00BC3A64" w:rsidRDefault="00BC3A64" w:rsidP="00302A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68378" w14:textId="60D7C1D8" w:rsidR="00302A25" w:rsidRPr="00302A25" w:rsidRDefault="00302A25" w:rsidP="00302A25">
            <w:pPr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 xml:space="preserve">Good working knowledge of insurance law.  Thorough understanding and application of the law in general.  </w:t>
            </w:r>
          </w:p>
          <w:p w14:paraId="3BEE635E" w14:textId="77777777" w:rsidR="00302A25" w:rsidRPr="00302A25" w:rsidRDefault="00302A25" w:rsidP="00302A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66DFA5" w14:textId="77777777" w:rsidR="00302A25" w:rsidRPr="00302A25" w:rsidRDefault="00302A25" w:rsidP="00302A25">
            <w:pPr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>Experience of working in a customer facing environment or call centre.</w:t>
            </w:r>
          </w:p>
          <w:p w14:paraId="5C9E9641" w14:textId="77777777" w:rsidR="00302A25" w:rsidRDefault="00302A25" w:rsidP="00302A25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4AF7293C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>Experience of managing and/or creating an environment to develop high performing teams.</w:t>
            </w:r>
          </w:p>
          <w:p w14:paraId="06F5B2AD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1AD43C17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>Strong ability to prioritise and meet deadlines/manage workloads</w:t>
            </w:r>
          </w:p>
          <w:p w14:paraId="5B11FC65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5C0C97D0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 xml:space="preserve">Good working knowledge of MS Office packages including Word, Excel &amp; </w:t>
            </w:r>
            <w:proofErr w:type="spellStart"/>
            <w:r w:rsidRPr="00302A25"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  <w:p w14:paraId="6A2900B2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420C895A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>Proven ability to positively influence performance in others</w:t>
            </w:r>
          </w:p>
          <w:p w14:paraId="75FE0F9E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2EAA1D01" w14:textId="77777777" w:rsidR="00302A25" w:rsidRPr="00302A25" w:rsidRDefault="00302A25" w:rsidP="00302A25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302A25">
              <w:rPr>
                <w:rFonts w:ascii="Arial" w:hAnsi="Arial" w:cs="Arial"/>
                <w:sz w:val="16"/>
                <w:szCs w:val="16"/>
              </w:rPr>
              <w:t>Evidenced ability to lead by example</w:t>
            </w:r>
          </w:p>
          <w:p w14:paraId="512C2ED2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39DC105B" w:rsidR="00363CB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Desirable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1AF33620" w14:textId="77777777" w:rsidR="00363CB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713380C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A6068A">
              <w:rPr>
                <w:rFonts w:ascii="Arial" w:hAnsi="Arial" w:cs="Arial"/>
                <w:sz w:val="16"/>
                <w:szCs w:val="16"/>
              </w:rPr>
              <w:t>Expertise in one or more specialised areas of law, including motoring law.</w:t>
            </w:r>
          </w:p>
          <w:p w14:paraId="375A0C36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1493442B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A6068A">
              <w:rPr>
                <w:rFonts w:ascii="Arial" w:hAnsi="Arial" w:cs="Arial"/>
                <w:sz w:val="16"/>
                <w:szCs w:val="16"/>
              </w:rPr>
              <w:t xml:space="preserve">Good </w:t>
            </w:r>
            <w:proofErr w:type="gramStart"/>
            <w:r w:rsidRPr="00A6068A">
              <w:rPr>
                <w:rFonts w:ascii="Arial" w:hAnsi="Arial" w:cs="Arial"/>
                <w:sz w:val="16"/>
                <w:szCs w:val="16"/>
              </w:rPr>
              <w:t>all round</w:t>
            </w:r>
            <w:proofErr w:type="gramEnd"/>
            <w:r w:rsidRPr="00A6068A">
              <w:rPr>
                <w:rFonts w:ascii="Arial" w:hAnsi="Arial" w:cs="Arial"/>
                <w:sz w:val="16"/>
                <w:szCs w:val="16"/>
              </w:rPr>
              <w:t xml:space="preserve"> understanding of products and services offered by RACLS.</w:t>
            </w:r>
          </w:p>
          <w:p w14:paraId="70AAE336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66DB744B" w14:textId="6AC2DB03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A6068A">
              <w:rPr>
                <w:rFonts w:ascii="Arial" w:hAnsi="Arial" w:cs="Arial"/>
                <w:sz w:val="16"/>
                <w:szCs w:val="16"/>
              </w:rPr>
              <w:t>A broad range of IT skills.</w:t>
            </w:r>
          </w:p>
          <w:p w14:paraId="0C094DD2" w14:textId="77777777" w:rsidR="00A6068A" w:rsidRPr="00764866" w:rsidRDefault="00A6068A" w:rsidP="00A6068A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5BFB2C55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A6068A">
              <w:rPr>
                <w:rFonts w:ascii="Arial" w:hAnsi="Arial" w:cs="Arial"/>
                <w:sz w:val="16"/>
                <w:szCs w:val="16"/>
              </w:rPr>
              <w:t>Excellent understanding of RACLS regulatory obligations in respect of FCA, and MOJ and understands how to imbed these into working practices.</w:t>
            </w:r>
          </w:p>
          <w:p w14:paraId="4DE097D0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14:paraId="3C2CE5B9" w14:textId="77777777" w:rsidR="00A6068A" w:rsidRPr="00A6068A" w:rsidRDefault="00A6068A" w:rsidP="00A6068A">
            <w:pPr>
              <w:tabs>
                <w:tab w:val="left" w:pos="432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00A6068A">
              <w:rPr>
                <w:rFonts w:ascii="Arial" w:hAnsi="Arial" w:cs="Arial"/>
                <w:sz w:val="16"/>
                <w:szCs w:val="16"/>
              </w:rPr>
              <w:t xml:space="preserve">Work must conform to standards set by the Financial Conduct Authority, Data Protection Act and other relevant legislation and/or regulatory </w:t>
            </w:r>
            <w:proofErr w:type="gramStart"/>
            <w:r w:rsidRPr="00A6068A">
              <w:rPr>
                <w:rFonts w:ascii="Arial" w:hAnsi="Arial" w:cs="Arial"/>
                <w:sz w:val="16"/>
                <w:szCs w:val="16"/>
              </w:rPr>
              <w:t>bodies</w:t>
            </w:r>
            <w:proofErr w:type="gramEnd"/>
          </w:p>
          <w:p w14:paraId="3F5A66AC" w14:textId="77777777" w:rsidR="00A6068A" w:rsidRDefault="00A6068A" w:rsidP="00363CB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12C2ED6" w14:textId="2073F10D" w:rsidR="00363CB2" w:rsidRPr="00472249" w:rsidRDefault="00363CB2" w:rsidP="00A6068A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2819" w:type="dxa"/>
            <w:shd w:val="clear" w:color="auto" w:fill="auto"/>
          </w:tcPr>
          <w:p w14:paraId="512C2EDF" w14:textId="42162B18" w:rsidR="00363CB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5E0F56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Competencies</w:t>
            </w:r>
          </w:p>
          <w:p w14:paraId="67800E42" w14:textId="36AFF250" w:rsidR="00363CB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16EFB5F7" w14:textId="50BB9C75" w:rsidR="00363CB2" w:rsidRPr="00DC6DDC" w:rsidRDefault="00363CB2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Improvement- </w:t>
            </w:r>
            <w:r w:rsidR="00ED7D25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18610E6D" w14:textId="426C0DA1" w:rsidR="00363CB2" w:rsidRPr="00DC6DDC" w:rsidRDefault="00363CB2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>Developing Self and Others -</w:t>
            </w:r>
            <w:r w:rsidR="00005798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2EB07B3A" w14:textId="5A6586C1" w:rsidR="00ED7D25" w:rsidRPr="00DC6DDC" w:rsidRDefault="00ED7D25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 xml:space="preserve">Judgement and Decision Making- </w:t>
            </w:r>
            <w:r w:rsidR="00AC4F03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03660812" w14:textId="41993299" w:rsidR="00363CB2" w:rsidRPr="00DC6DDC" w:rsidRDefault="00363CB2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 xml:space="preserve">Achievement Drive- </w:t>
            </w:r>
            <w:r w:rsidR="00ED7D25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54B30105" w14:textId="6E848D98" w:rsidR="00363CB2" w:rsidRPr="00DC6DDC" w:rsidRDefault="00363CB2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 xml:space="preserve">Customer Focus- </w:t>
            </w:r>
            <w:r w:rsidR="00AC4F03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4E8ACB7B" w14:textId="30764F31" w:rsidR="00363CB2" w:rsidRPr="00DC6DDC" w:rsidRDefault="00363CB2" w:rsidP="00DC6DDC">
            <w:pPr>
              <w:pStyle w:val="ListParagraph"/>
              <w:numPr>
                <w:ilvl w:val="0"/>
                <w:numId w:val="20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C6DDC">
              <w:rPr>
                <w:rFonts w:ascii="DINRoundOT-Medium" w:hAnsi="DINRoundOT-Medium" w:cs="DINRoundOT-Medium"/>
                <w:sz w:val="18"/>
                <w:szCs w:val="18"/>
              </w:rPr>
              <w:t xml:space="preserve">Interpersonal and Influencing skills- </w:t>
            </w:r>
            <w:r w:rsidR="00005798" w:rsidRPr="00DC6DDC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0C86D805" w14:textId="77777777" w:rsidR="00DC6DDC" w:rsidRDefault="00DC6DDC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5A68221" w14:textId="64EA5334" w:rsidR="00363CB2" w:rsidRDefault="00AB69BE" w:rsidP="00363CB2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 w:rsidRPr="00AB69BE">
              <w:rPr>
                <w:rFonts w:ascii="DINRoundOT-Medium" w:hAnsi="DINRoundOT-Medium" w:cs="DINRoundOT-Medium"/>
                <w:sz w:val="18"/>
                <w:szCs w:val="18"/>
              </w:rPr>
              <w:t>Specialist Knowledge: demonstrate the appropriate company, business and technical knowledge required to perform the role effectively</w:t>
            </w:r>
            <w:r w:rsidRPr="0083500D">
              <w:rPr>
                <w:rFonts w:ascii="Arial" w:hAnsi="Arial" w:cs="Arial"/>
              </w:rPr>
              <w:t>.</w:t>
            </w:r>
          </w:p>
          <w:p w14:paraId="78A9CD17" w14:textId="252DE08C" w:rsidR="00363CB2" w:rsidRDefault="00363CB2" w:rsidP="00363CB2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6C0C11A1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2E5262A3" w14:textId="4BEC18E7" w:rsidR="00363CB2" w:rsidRDefault="00363CB2" w:rsidP="00363C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548A74" wp14:editId="40505CC8">
                  <wp:extent cx="547581" cy="511791"/>
                  <wp:effectExtent l="0" t="0" r="508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08" cy="51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60439EC" wp14:editId="4B2F07B2">
                  <wp:extent cx="668741" cy="852235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17" cy="88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439B9" w14:textId="61463E28" w:rsidR="00363CB2" w:rsidRDefault="00363CB2" w:rsidP="00363CB2">
            <w:pPr>
              <w:rPr>
                <w:noProof/>
              </w:rPr>
            </w:pPr>
          </w:p>
          <w:p w14:paraId="5ECB6629" w14:textId="77777777" w:rsidR="00363CB2" w:rsidRDefault="00363CB2" w:rsidP="00363CB2">
            <w:pPr>
              <w:rPr>
                <w:noProof/>
              </w:rPr>
            </w:pPr>
          </w:p>
          <w:p w14:paraId="0B343145" w14:textId="59CDEC38" w:rsidR="00363CB2" w:rsidRPr="00CC6762" w:rsidRDefault="00363CB2" w:rsidP="00363CB2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472642" wp14:editId="52938FB6">
                  <wp:extent cx="596297" cy="614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01" cy="62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1FD1BE0" wp14:editId="66232349">
                  <wp:extent cx="591653" cy="607326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82" cy="6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2DF7C" w14:textId="77777777" w:rsidR="00363CB2" w:rsidRPr="00CC6762" w:rsidRDefault="00363CB2" w:rsidP="00363CB2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F" w14:textId="6C9C5046" w:rsidR="00363CB2" w:rsidRPr="00CC6762" w:rsidRDefault="00363CB2" w:rsidP="00363CB2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4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2696" w14:textId="77777777" w:rsidR="00B27019" w:rsidRDefault="00B27019">
      <w:r>
        <w:separator/>
      </w:r>
    </w:p>
  </w:endnote>
  <w:endnote w:type="continuationSeparator" w:id="0">
    <w:p w14:paraId="74DFF1DC" w14:textId="77777777" w:rsidR="00B27019" w:rsidRDefault="00B2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60DE" w14:textId="77777777" w:rsidR="00B27019" w:rsidRDefault="00B27019">
      <w:r>
        <w:separator/>
      </w:r>
    </w:p>
  </w:footnote>
  <w:footnote w:type="continuationSeparator" w:id="0">
    <w:p w14:paraId="2A6E4C5C" w14:textId="77777777" w:rsidR="00B27019" w:rsidRDefault="00B2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B2C60"/>
    <w:multiLevelType w:val="hybridMultilevel"/>
    <w:tmpl w:val="448AB9C2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CB3"/>
    <w:multiLevelType w:val="hybridMultilevel"/>
    <w:tmpl w:val="5FFA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5117"/>
    <w:multiLevelType w:val="hybridMultilevel"/>
    <w:tmpl w:val="4F9692AA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566C9"/>
    <w:multiLevelType w:val="hybridMultilevel"/>
    <w:tmpl w:val="5F28051A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1D2473"/>
    <w:multiLevelType w:val="hybridMultilevel"/>
    <w:tmpl w:val="3D820996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54C2"/>
    <w:multiLevelType w:val="hybridMultilevel"/>
    <w:tmpl w:val="C4FA56A8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4139C"/>
    <w:multiLevelType w:val="hybridMultilevel"/>
    <w:tmpl w:val="EB40926C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678721">
    <w:abstractNumId w:val="10"/>
  </w:num>
  <w:num w:numId="2" w16cid:durableId="762334426">
    <w:abstractNumId w:val="0"/>
  </w:num>
  <w:num w:numId="3" w16cid:durableId="1914315061">
    <w:abstractNumId w:val="12"/>
  </w:num>
  <w:num w:numId="4" w16cid:durableId="964653914">
    <w:abstractNumId w:val="9"/>
  </w:num>
  <w:num w:numId="5" w16cid:durableId="85730005">
    <w:abstractNumId w:val="17"/>
  </w:num>
  <w:num w:numId="6" w16cid:durableId="191501772">
    <w:abstractNumId w:val="3"/>
  </w:num>
  <w:num w:numId="7" w16cid:durableId="1613317227">
    <w:abstractNumId w:val="5"/>
  </w:num>
  <w:num w:numId="8" w16cid:durableId="1556549004">
    <w:abstractNumId w:val="19"/>
  </w:num>
  <w:num w:numId="9" w16cid:durableId="733313870">
    <w:abstractNumId w:val="14"/>
  </w:num>
  <w:num w:numId="10" w16cid:durableId="1224873509">
    <w:abstractNumId w:val="15"/>
  </w:num>
  <w:num w:numId="11" w16cid:durableId="2122799434">
    <w:abstractNumId w:val="11"/>
  </w:num>
  <w:num w:numId="12" w16cid:durableId="1040591219">
    <w:abstractNumId w:val="1"/>
  </w:num>
  <w:num w:numId="13" w16cid:durableId="537204353">
    <w:abstractNumId w:val="2"/>
  </w:num>
  <w:num w:numId="14" w16cid:durableId="2060938228">
    <w:abstractNumId w:val="8"/>
  </w:num>
  <w:num w:numId="15" w16cid:durableId="106002517">
    <w:abstractNumId w:val="16"/>
  </w:num>
  <w:num w:numId="16" w16cid:durableId="200022128">
    <w:abstractNumId w:val="13"/>
  </w:num>
  <w:num w:numId="17" w16cid:durableId="1441755573">
    <w:abstractNumId w:val="7"/>
  </w:num>
  <w:num w:numId="18" w16cid:durableId="2059283070">
    <w:abstractNumId w:val="4"/>
  </w:num>
  <w:num w:numId="19" w16cid:durableId="1857500815">
    <w:abstractNumId w:val="18"/>
  </w:num>
  <w:num w:numId="20" w16cid:durableId="2140805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5798"/>
    <w:rsid w:val="00045F1B"/>
    <w:rsid w:val="00047A7F"/>
    <w:rsid w:val="0009311D"/>
    <w:rsid w:val="000C0050"/>
    <w:rsid w:val="00114DBE"/>
    <w:rsid w:val="001228F5"/>
    <w:rsid w:val="00132C72"/>
    <w:rsid w:val="00146590"/>
    <w:rsid w:val="00185AEA"/>
    <w:rsid w:val="001A6867"/>
    <w:rsid w:val="001F6B0A"/>
    <w:rsid w:val="002E4FF1"/>
    <w:rsid w:val="00300379"/>
    <w:rsid w:val="00302A25"/>
    <w:rsid w:val="00305776"/>
    <w:rsid w:val="00363CB2"/>
    <w:rsid w:val="003735FD"/>
    <w:rsid w:val="003A131D"/>
    <w:rsid w:val="003C1B49"/>
    <w:rsid w:val="003C3CFE"/>
    <w:rsid w:val="003D5A9A"/>
    <w:rsid w:val="003E1859"/>
    <w:rsid w:val="003E2265"/>
    <w:rsid w:val="004033EB"/>
    <w:rsid w:val="004261E5"/>
    <w:rsid w:val="00472249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46B88"/>
    <w:rsid w:val="0054765B"/>
    <w:rsid w:val="00547D2F"/>
    <w:rsid w:val="00570919"/>
    <w:rsid w:val="005E0F56"/>
    <w:rsid w:val="00605413"/>
    <w:rsid w:val="00694AAB"/>
    <w:rsid w:val="00696933"/>
    <w:rsid w:val="006B1DAC"/>
    <w:rsid w:val="006D3C52"/>
    <w:rsid w:val="006E3E01"/>
    <w:rsid w:val="006F1BF8"/>
    <w:rsid w:val="0070784A"/>
    <w:rsid w:val="007103A5"/>
    <w:rsid w:val="0071428E"/>
    <w:rsid w:val="00722C68"/>
    <w:rsid w:val="00727DAC"/>
    <w:rsid w:val="00733B21"/>
    <w:rsid w:val="00734798"/>
    <w:rsid w:val="00741667"/>
    <w:rsid w:val="00757B27"/>
    <w:rsid w:val="00764F5E"/>
    <w:rsid w:val="007B0D25"/>
    <w:rsid w:val="007B5675"/>
    <w:rsid w:val="007D1950"/>
    <w:rsid w:val="007D6E58"/>
    <w:rsid w:val="007F7D13"/>
    <w:rsid w:val="00807101"/>
    <w:rsid w:val="00851980"/>
    <w:rsid w:val="008B3656"/>
    <w:rsid w:val="008B661F"/>
    <w:rsid w:val="008E2FD2"/>
    <w:rsid w:val="009333D1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9F215C"/>
    <w:rsid w:val="00A131BF"/>
    <w:rsid w:val="00A22485"/>
    <w:rsid w:val="00A43F3B"/>
    <w:rsid w:val="00A6068A"/>
    <w:rsid w:val="00A62810"/>
    <w:rsid w:val="00A72A7F"/>
    <w:rsid w:val="00AA1B38"/>
    <w:rsid w:val="00AB69BE"/>
    <w:rsid w:val="00AC47BD"/>
    <w:rsid w:val="00AC4F03"/>
    <w:rsid w:val="00AE6C93"/>
    <w:rsid w:val="00AF2797"/>
    <w:rsid w:val="00AF33F7"/>
    <w:rsid w:val="00B031F1"/>
    <w:rsid w:val="00B27019"/>
    <w:rsid w:val="00B5555D"/>
    <w:rsid w:val="00B87F51"/>
    <w:rsid w:val="00B96444"/>
    <w:rsid w:val="00BB50A0"/>
    <w:rsid w:val="00BC3A64"/>
    <w:rsid w:val="00BD287B"/>
    <w:rsid w:val="00BF1C12"/>
    <w:rsid w:val="00BF7858"/>
    <w:rsid w:val="00C56B04"/>
    <w:rsid w:val="00C628ED"/>
    <w:rsid w:val="00C74A17"/>
    <w:rsid w:val="00C9265F"/>
    <w:rsid w:val="00CB2577"/>
    <w:rsid w:val="00CC6762"/>
    <w:rsid w:val="00CD4BBB"/>
    <w:rsid w:val="00CE3B86"/>
    <w:rsid w:val="00CE4718"/>
    <w:rsid w:val="00CE4751"/>
    <w:rsid w:val="00D14056"/>
    <w:rsid w:val="00D47005"/>
    <w:rsid w:val="00D86C66"/>
    <w:rsid w:val="00DA1E13"/>
    <w:rsid w:val="00DC6DDC"/>
    <w:rsid w:val="00DD4624"/>
    <w:rsid w:val="00E03579"/>
    <w:rsid w:val="00E05460"/>
    <w:rsid w:val="00E14D3F"/>
    <w:rsid w:val="00E30BC4"/>
    <w:rsid w:val="00E370BC"/>
    <w:rsid w:val="00E635D6"/>
    <w:rsid w:val="00E732C7"/>
    <w:rsid w:val="00ED7D25"/>
    <w:rsid w:val="00EF7FF3"/>
    <w:rsid w:val="00F205C2"/>
    <w:rsid w:val="00F21229"/>
    <w:rsid w:val="00F27B2A"/>
    <w:rsid w:val="00F30CE2"/>
    <w:rsid w:val="00F373CF"/>
    <w:rsid w:val="00F72BFA"/>
    <w:rsid w:val="00F85B74"/>
    <w:rsid w:val="00F87965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1428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3C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Sophie Ward</cp:lastModifiedBy>
  <cp:revision>28</cp:revision>
  <cp:lastPrinted>2021-07-16T14:39:00Z</cp:lastPrinted>
  <dcterms:created xsi:type="dcterms:W3CDTF">2022-03-18T09:32:00Z</dcterms:created>
  <dcterms:modified xsi:type="dcterms:W3CDTF">2023-11-23T11:12:00Z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