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176668" w:rsidRPr="003F1085" w14:paraId="01F52729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CD32" w14:textId="4A54A34E" w:rsidR="009B354B" w:rsidRPr="003F1085" w:rsidRDefault="00C71352" w:rsidP="009E197C">
            <w:pPr>
              <w:pStyle w:val="Title"/>
              <w:spacing w:before="0" w:after="0"/>
              <w:contextualSpacing/>
              <w:jc w:val="left"/>
              <w:rPr>
                <w:sz w:val="18"/>
                <w:szCs w:val="18"/>
              </w:rPr>
            </w:pPr>
            <w:r w:rsidRPr="003F1085">
              <w:rPr>
                <w:sz w:val="18"/>
                <w:szCs w:val="18"/>
              </w:rPr>
              <w:t xml:space="preserve">Role </w:t>
            </w:r>
            <w:r w:rsidR="009B354B" w:rsidRPr="003F1085">
              <w:rPr>
                <w:sz w:val="18"/>
                <w:szCs w:val="18"/>
              </w:rPr>
              <w:t>Title</w:t>
            </w:r>
            <w:r w:rsidR="009E197C" w:rsidRPr="003F1085">
              <w:rPr>
                <w:sz w:val="18"/>
                <w:szCs w:val="18"/>
              </w:rPr>
              <w:t>:</w:t>
            </w:r>
            <w:r w:rsidR="00853956" w:rsidRPr="003F1085">
              <w:rPr>
                <w:sz w:val="18"/>
                <w:szCs w:val="18"/>
              </w:rPr>
              <w:t xml:space="preserve"> </w:t>
            </w:r>
            <w:r w:rsidR="00FE09BF" w:rsidRPr="003F1085">
              <w:rPr>
                <w:sz w:val="18"/>
                <w:szCs w:val="18"/>
              </w:rPr>
              <w:t xml:space="preserve">Senior Pricing </w:t>
            </w:r>
            <w:r w:rsidR="0011785B" w:rsidRPr="003F1085">
              <w:rPr>
                <w:sz w:val="18"/>
                <w:szCs w:val="18"/>
              </w:rPr>
              <w:t>Analyst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CE9C" w14:textId="4AC45D1F" w:rsidR="009B354B" w:rsidRPr="003F1085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3F1085">
              <w:rPr>
                <w:sz w:val="18"/>
                <w:szCs w:val="18"/>
              </w:rPr>
              <w:t>Date:</w:t>
            </w:r>
            <w:r w:rsidR="00CF623E" w:rsidRPr="003F1085">
              <w:rPr>
                <w:sz w:val="18"/>
                <w:szCs w:val="18"/>
              </w:rPr>
              <w:t xml:space="preserve"> </w:t>
            </w:r>
            <w:r w:rsidR="0066751F" w:rsidRPr="003F1085">
              <w:rPr>
                <w:sz w:val="18"/>
                <w:szCs w:val="18"/>
              </w:rPr>
              <w:t xml:space="preserve">               </w:t>
            </w:r>
            <w:r w:rsidR="00F67DE2" w:rsidRPr="003F10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3E92C" w14:textId="77777777" w:rsidR="009B354B" w:rsidRPr="003F1085" w:rsidRDefault="009B354B" w:rsidP="009E197C">
            <w:pPr>
              <w:pStyle w:val="Title"/>
              <w:spacing w:before="0" w:after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176668" w:rsidRPr="003F1085" w14:paraId="09E4B4B4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1222" w14:textId="77777777" w:rsidR="009B354B" w:rsidRPr="003F1085" w:rsidRDefault="00C71352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3F1085">
              <w:rPr>
                <w:sz w:val="18"/>
                <w:szCs w:val="18"/>
              </w:rPr>
              <w:t>Role</w:t>
            </w:r>
            <w:r w:rsidR="009B354B" w:rsidRPr="003F1085">
              <w:rPr>
                <w:sz w:val="18"/>
                <w:szCs w:val="18"/>
              </w:rPr>
              <w:t xml:space="preserve"> Code: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6BB5" w14:textId="77777777" w:rsidR="009B354B" w:rsidRPr="003F1085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  <w:r w:rsidRPr="003F1085">
              <w:rPr>
                <w:sz w:val="18"/>
                <w:szCs w:val="18"/>
              </w:rPr>
              <w:t>Business Unit:</w:t>
            </w:r>
            <w:r w:rsidR="0066751F" w:rsidRPr="003F1085">
              <w:rPr>
                <w:sz w:val="18"/>
                <w:szCs w:val="18"/>
              </w:rPr>
              <w:t xml:space="preserve">   </w:t>
            </w:r>
            <w:r w:rsidR="009479D0" w:rsidRPr="003F1085">
              <w:rPr>
                <w:sz w:val="18"/>
                <w:szCs w:val="18"/>
              </w:rPr>
              <w:t xml:space="preserve">Insurance </w:t>
            </w:r>
            <w:r w:rsidR="003F636C" w:rsidRPr="003F1085">
              <w:rPr>
                <w:sz w:val="18"/>
                <w:szCs w:val="18"/>
              </w:rPr>
              <w:t>Pricing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E8ED" w14:textId="77777777" w:rsidR="009B354B" w:rsidRPr="003F1085" w:rsidRDefault="009B354B" w:rsidP="009E197C">
            <w:pPr>
              <w:pStyle w:val="Title"/>
              <w:spacing w:before="0" w:after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76668" w:rsidRPr="003F1085" w14:paraId="02891355" w14:textId="77777777" w:rsidTr="009E197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50062" w14:textId="77777777" w:rsidR="009B354B" w:rsidRPr="003F1085" w:rsidRDefault="009B354B" w:rsidP="009E197C">
            <w:pPr>
              <w:pStyle w:val="Title"/>
              <w:spacing w:before="0" w:after="0"/>
              <w:contextualSpacing/>
              <w:jc w:val="both"/>
              <w:rPr>
                <w:b w:val="0"/>
                <w:bCs w:val="0"/>
                <w:caps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C82C6" w14:textId="77777777" w:rsidR="009B354B" w:rsidRPr="003F1085" w:rsidRDefault="009B354B" w:rsidP="009E197C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1B13C" w14:textId="77777777" w:rsidR="009B354B" w:rsidRPr="003F1085" w:rsidRDefault="009B354B" w:rsidP="009E197C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8"/>
                <w:szCs w:val="18"/>
              </w:rPr>
            </w:pPr>
          </w:p>
        </w:tc>
      </w:tr>
      <w:tr w:rsidR="00176668" w:rsidRPr="003F1085" w14:paraId="212F30F4" w14:textId="77777777" w:rsidTr="009E197C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750C2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21B1E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702F2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8EED5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Need to Be</w:t>
            </w:r>
          </w:p>
        </w:tc>
      </w:tr>
      <w:tr w:rsidR="00176668" w:rsidRPr="003F1085" w14:paraId="22776F38" w14:textId="77777777" w:rsidTr="00F801E5">
        <w:trPr>
          <w:trHeight w:val="7352"/>
        </w:trPr>
        <w:tc>
          <w:tcPr>
            <w:tcW w:w="4395" w:type="dxa"/>
            <w:shd w:val="clear" w:color="auto" w:fill="auto"/>
          </w:tcPr>
          <w:p w14:paraId="2A75D6BC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05BBB8D3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F1085">
              <w:rPr>
                <w:rFonts w:ascii="Arial" w:hAnsi="Arial" w:cs="Arial"/>
                <w:b/>
                <w:sz w:val="18"/>
                <w:szCs w:val="18"/>
              </w:rPr>
              <w:t>Function</w:t>
            </w:r>
            <w:r w:rsidRPr="003F1085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3F1085">
              <w:rPr>
                <w:rFonts w:ascii="Arial" w:hAnsi="Arial" w:cs="Arial"/>
                <w:b/>
                <w:sz w:val="18"/>
                <w:szCs w:val="18"/>
              </w:rPr>
              <w:t>Purpose</w:t>
            </w:r>
            <w:r w:rsidRPr="003F1085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0DAE37EB" w14:textId="77777777" w:rsidR="00CF623E" w:rsidRPr="003F1085" w:rsidRDefault="00CF623E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9F86116" w14:textId="43DC8411" w:rsidR="00CD0FF4" w:rsidRPr="003F1085" w:rsidRDefault="00CD0FF4" w:rsidP="00CD0FF4">
            <w:pPr>
              <w:numPr>
                <w:ilvl w:val="0"/>
                <w:numId w:val="31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You are a key member of the Insurance Pricing department. You will work directly with </w:t>
            </w:r>
            <w:r w:rsidR="001A4CC0" w:rsidRPr="003F1085">
              <w:rPr>
                <w:rFonts w:ascii="Arial" w:hAnsi="Arial" w:cs="Arial"/>
                <w:sz w:val="18"/>
                <w:szCs w:val="18"/>
              </w:rPr>
              <w:t xml:space="preserve">Pricing, 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Product and </w:t>
            </w:r>
            <w:r w:rsidR="00682AFD" w:rsidRPr="003F1085">
              <w:rPr>
                <w:rFonts w:ascii="Arial" w:hAnsi="Arial" w:cs="Arial"/>
                <w:sz w:val="18"/>
                <w:szCs w:val="18"/>
              </w:rPr>
              <w:t xml:space="preserve">Finance </w:t>
            </w:r>
            <w:r w:rsidR="002616DB" w:rsidRPr="003F1085">
              <w:rPr>
                <w:rFonts w:ascii="Arial" w:hAnsi="Arial" w:cs="Arial"/>
                <w:sz w:val="18"/>
                <w:szCs w:val="18"/>
              </w:rPr>
              <w:t xml:space="preserve">colleagues 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to understand commercial performance of your </w:t>
            </w:r>
            <w:r w:rsidR="00987970" w:rsidRPr="003F1085">
              <w:rPr>
                <w:rFonts w:ascii="Arial" w:hAnsi="Arial" w:cs="Arial"/>
                <w:sz w:val="18"/>
                <w:szCs w:val="18"/>
              </w:rPr>
              <w:t>models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 and seek opportunities to use pricing know-how </w:t>
            </w:r>
            <w:r w:rsidR="00987970" w:rsidRPr="003F1085">
              <w:rPr>
                <w:rFonts w:ascii="Arial" w:hAnsi="Arial" w:cs="Arial"/>
                <w:sz w:val="18"/>
                <w:szCs w:val="18"/>
              </w:rPr>
              <w:t xml:space="preserve">and analytical expertise 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to deliver </w:t>
            </w:r>
            <w:r w:rsidR="00987970" w:rsidRPr="003F1085">
              <w:rPr>
                <w:rFonts w:ascii="Arial" w:hAnsi="Arial" w:cs="Arial"/>
                <w:sz w:val="18"/>
                <w:szCs w:val="18"/>
              </w:rPr>
              <w:t>pricing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 objectives.</w:t>
            </w:r>
          </w:p>
          <w:p w14:paraId="03E1428F" w14:textId="77777777" w:rsidR="002616DB" w:rsidRPr="003F1085" w:rsidRDefault="002616DB" w:rsidP="002616DB">
            <w:pPr>
              <w:ind w:left="34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E58F0C" w14:textId="77777777" w:rsidR="001A4CC0" w:rsidRPr="003F1085" w:rsidRDefault="00CD0FF4" w:rsidP="00CD0FF4">
            <w:pPr>
              <w:numPr>
                <w:ilvl w:val="0"/>
                <w:numId w:val="31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You will</w:t>
            </w:r>
            <w:r w:rsidR="001A4CC0" w:rsidRPr="003F108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73F971" w14:textId="2235B41E" w:rsidR="001A4CC0" w:rsidRPr="003F1085" w:rsidRDefault="0067307B" w:rsidP="001A4CC0">
            <w:pPr>
              <w:numPr>
                <w:ilvl w:val="1"/>
                <w:numId w:val="31"/>
              </w:numPr>
              <w:tabs>
                <w:tab w:val="clear" w:pos="1440"/>
              </w:tabs>
              <w:ind w:left="74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Develop and deploy pricing models to price business in line with business targets</w:t>
            </w:r>
            <w:r w:rsidR="001A4CC0" w:rsidRPr="003F108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14BA404" w14:textId="4EB04E8F" w:rsidR="00F37D8F" w:rsidRPr="003F1085" w:rsidRDefault="00DF671D" w:rsidP="001A4CC0">
            <w:pPr>
              <w:numPr>
                <w:ilvl w:val="1"/>
                <w:numId w:val="31"/>
              </w:numPr>
              <w:tabs>
                <w:tab w:val="clear" w:pos="1440"/>
              </w:tabs>
              <w:ind w:left="74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p</w:t>
            </w:r>
            <w:r w:rsidR="00F37D8F" w:rsidRPr="003F1085">
              <w:rPr>
                <w:rFonts w:ascii="Arial" w:hAnsi="Arial" w:cs="Arial"/>
                <w:sz w:val="18"/>
                <w:szCs w:val="18"/>
              </w:rPr>
              <w:t xml:space="preserve">eer review new and existing pricing models and suggest areas for </w:t>
            </w:r>
            <w:proofErr w:type="gramStart"/>
            <w:r w:rsidR="00F37D8F" w:rsidRPr="003F1085">
              <w:rPr>
                <w:rFonts w:ascii="Arial" w:hAnsi="Arial" w:cs="Arial"/>
                <w:sz w:val="18"/>
                <w:szCs w:val="18"/>
              </w:rPr>
              <w:t>improvement</w:t>
            </w:r>
            <w:proofErr w:type="gramEnd"/>
          </w:p>
          <w:p w14:paraId="69DFEAF9" w14:textId="50142B8B" w:rsidR="001A4CC0" w:rsidRPr="003F1085" w:rsidRDefault="00DF671D" w:rsidP="001A4CC0">
            <w:pPr>
              <w:numPr>
                <w:ilvl w:val="1"/>
                <w:numId w:val="31"/>
              </w:numPr>
              <w:tabs>
                <w:tab w:val="clear" w:pos="1440"/>
              </w:tabs>
              <w:ind w:left="74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i</w:t>
            </w:r>
            <w:r w:rsidR="00CD0FF4" w:rsidRPr="003F1085">
              <w:rPr>
                <w:rFonts w:ascii="Arial" w:hAnsi="Arial" w:cs="Arial"/>
                <w:sz w:val="18"/>
                <w:szCs w:val="18"/>
              </w:rPr>
              <w:t xml:space="preserve">dentify </w:t>
            </w:r>
            <w:r w:rsidR="00DE34E8" w:rsidRPr="003F1085">
              <w:rPr>
                <w:rFonts w:ascii="Arial" w:hAnsi="Arial" w:cs="Arial"/>
                <w:sz w:val="18"/>
                <w:szCs w:val="18"/>
              </w:rPr>
              <w:t xml:space="preserve">and evaluate </w:t>
            </w:r>
            <w:r w:rsidR="00CD0FF4" w:rsidRPr="003F1085">
              <w:rPr>
                <w:rFonts w:ascii="Arial" w:hAnsi="Arial" w:cs="Arial"/>
                <w:sz w:val="18"/>
                <w:szCs w:val="18"/>
              </w:rPr>
              <w:t>data opportunities</w:t>
            </w:r>
            <w:r w:rsidR="00B05EE7" w:rsidRPr="003F108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18D064C" w14:textId="3DF21041" w:rsidR="00B05EE7" w:rsidRPr="003F1085" w:rsidRDefault="00DF671D" w:rsidP="00B05EE7">
            <w:pPr>
              <w:numPr>
                <w:ilvl w:val="1"/>
                <w:numId w:val="31"/>
              </w:numPr>
              <w:tabs>
                <w:tab w:val="clear" w:pos="1440"/>
              </w:tabs>
              <w:ind w:left="74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e</w:t>
            </w:r>
            <w:r w:rsidR="001A4CC0" w:rsidRPr="003F1085">
              <w:rPr>
                <w:rFonts w:ascii="Arial" w:hAnsi="Arial" w:cs="Arial"/>
                <w:sz w:val="18"/>
                <w:szCs w:val="18"/>
              </w:rPr>
              <w:t xml:space="preserve">valuate </w:t>
            </w:r>
            <w:r w:rsidR="00CD0FF4" w:rsidRPr="003F1085">
              <w:rPr>
                <w:rFonts w:ascii="Arial" w:hAnsi="Arial" w:cs="Arial"/>
                <w:sz w:val="18"/>
                <w:szCs w:val="18"/>
              </w:rPr>
              <w:t>appropriate</w:t>
            </w:r>
            <w:r w:rsidR="00243B02" w:rsidRPr="003F1085">
              <w:rPr>
                <w:rFonts w:ascii="Arial" w:hAnsi="Arial" w:cs="Arial"/>
                <w:sz w:val="18"/>
                <w:szCs w:val="18"/>
              </w:rPr>
              <w:t>ness of</w:t>
            </w:r>
            <w:r w:rsidR="00CD0FF4" w:rsidRPr="003F1085">
              <w:rPr>
                <w:rFonts w:ascii="Arial" w:hAnsi="Arial" w:cs="Arial"/>
                <w:sz w:val="18"/>
                <w:szCs w:val="18"/>
              </w:rPr>
              <w:t xml:space="preserve"> statistical techniques</w:t>
            </w:r>
            <w:r w:rsidR="001A4CC0" w:rsidRPr="003F1085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78B16B12" w14:textId="15A0861F" w:rsidR="00CD0FF4" w:rsidRPr="003F1085" w:rsidRDefault="00B05EE7" w:rsidP="00B05EE7">
            <w:pPr>
              <w:numPr>
                <w:ilvl w:val="1"/>
                <w:numId w:val="31"/>
              </w:numPr>
              <w:tabs>
                <w:tab w:val="clear" w:pos="1440"/>
              </w:tabs>
              <w:ind w:left="741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formulate </w:t>
            </w:r>
            <w:r w:rsidR="00CD0FF4" w:rsidRPr="003F1085">
              <w:rPr>
                <w:rFonts w:ascii="Arial" w:hAnsi="Arial" w:cs="Arial"/>
                <w:sz w:val="18"/>
                <w:szCs w:val="18"/>
              </w:rPr>
              <w:t xml:space="preserve">pricing actions which </w:t>
            </w:r>
            <w:r w:rsidR="00DF671D" w:rsidRPr="003F1085">
              <w:rPr>
                <w:rFonts w:ascii="Arial" w:hAnsi="Arial" w:cs="Arial"/>
                <w:sz w:val="18"/>
                <w:szCs w:val="18"/>
              </w:rPr>
              <w:t>improve</w:t>
            </w:r>
            <w:r w:rsidR="00CD0FF4" w:rsidRPr="003F1085">
              <w:rPr>
                <w:rFonts w:ascii="Arial" w:hAnsi="Arial" w:cs="Arial"/>
                <w:sz w:val="18"/>
                <w:szCs w:val="18"/>
              </w:rPr>
              <w:t xml:space="preserve"> performance.</w:t>
            </w:r>
          </w:p>
          <w:p w14:paraId="0FCD7954" w14:textId="38A5C27A" w:rsidR="00C71352" w:rsidRPr="003F1085" w:rsidRDefault="00CD0FF4" w:rsidP="00CD0FF4">
            <w:pPr>
              <w:numPr>
                <w:ilvl w:val="0"/>
                <w:numId w:val="31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You will act as a Subject Matter Expert or Business </w:t>
            </w:r>
            <w:r w:rsidR="00760BCD" w:rsidRPr="003F1085">
              <w:rPr>
                <w:rFonts w:ascii="Arial" w:hAnsi="Arial" w:cs="Arial"/>
                <w:sz w:val="18"/>
                <w:szCs w:val="18"/>
              </w:rPr>
              <w:t>Owner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 on relevant projects and are accountable for your performance in such roles.</w:t>
            </w:r>
          </w:p>
          <w:p w14:paraId="33EE24B4" w14:textId="77777777" w:rsidR="00B05EE7" w:rsidRPr="003F1085" w:rsidRDefault="00B05EE7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44B94" w14:textId="2A26F768" w:rsidR="00937155" w:rsidRPr="003F1085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sz w:val="18"/>
                <w:szCs w:val="18"/>
              </w:rPr>
              <w:t xml:space="preserve">Context: </w:t>
            </w:r>
          </w:p>
          <w:p w14:paraId="17C45239" w14:textId="77777777" w:rsidR="00937155" w:rsidRPr="003F1085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305EF" w14:textId="2B926E71" w:rsidR="00937155" w:rsidRPr="003F1085" w:rsidRDefault="00275165" w:rsidP="009E197C">
            <w:pPr>
              <w:pStyle w:val="BodyText"/>
              <w:numPr>
                <w:ilvl w:val="0"/>
                <w:numId w:val="39"/>
              </w:numPr>
              <w:spacing w:after="0"/>
              <w:ind w:right="22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Highly competitive market, </w:t>
            </w:r>
            <w:r w:rsidR="00937155" w:rsidRPr="003F1085">
              <w:rPr>
                <w:rFonts w:ascii="Arial" w:hAnsi="Arial" w:cs="Arial"/>
                <w:sz w:val="18"/>
                <w:szCs w:val="18"/>
              </w:rPr>
              <w:t xml:space="preserve">set against a background of changing social, legal and economic pressures, with </w:t>
            </w:r>
            <w:r w:rsidR="0096596A" w:rsidRPr="003F1085">
              <w:rPr>
                <w:rFonts w:ascii="Arial" w:hAnsi="Arial" w:cs="Arial"/>
                <w:sz w:val="18"/>
                <w:szCs w:val="18"/>
              </w:rPr>
              <w:t xml:space="preserve">ambitious </w:t>
            </w:r>
            <w:r w:rsidR="00CF0354" w:rsidRPr="003F1085">
              <w:rPr>
                <w:rFonts w:ascii="Arial" w:hAnsi="Arial" w:cs="Arial"/>
                <w:sz w:val="18"/>
                <w:szCs w:val="18"/>
              </w:rPr>
              <w:t>business</w:t>
            </w:r>
            <w:r w:rsidR="0096596A" w:rsidRPr="003F1085">
              <w:rPr>
                <w:rFonts w:ascii="Arial" w:hAnsi="Arial" w:cs="Arial"/>
                <w:sz w:val="18"/>
                <w:szCs w:val="18"/>
              </w:rPr>
              <w:t xml:space="preserve"> growth targets</w:t>
            </w:r>
          </w:p>
          <w:p w14:paraId="1921440F" w14:textId="73077B47" w:rsidR="00937155" w:rsidRPr="003F1085" w:rsidRDefault="00937155" w:rsidP="009E197C">
            <w:pPr>
              <w:pStyle w:val="BodyText"/>
              <w:numPr>
                <w:ilvl w:val="0"/>
                <w:numId w:val="39"/>
              </w:numPr>
              <w:spacing w:after="0"/>
              <w:ind w:right="227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Critical role in achieving and maintaining RAC’s </w:t>
            </w:r>
            <w:r w:rsidR="00A12EC9" w:rsidRPr="003F1085">
              <w:rPr>
                <w:rFonts w:ascii="Arial" w:hAnsi="Arial" w:cs="Arial"/>
                <w:sz w:val="18"/>
                <w:szCs w:val="18"/>
              </w:rPr>
              <w:t xml:space="preserve">objectives </w:t>
            </w:r>
            <w:r w:rsidR="0096596A" w:rsidRPr="003F1085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="008A349C" w:rsidRPr="003F1085">
              <w:rPr>
                <w:rFonts w:ascii="Arial" w:hAnsi="Arial" w:cs="Arial"/>
                <w:sz w:val="18"/>
                <w:szCs w:val="18"/>
              </w:rPr>
              <w:t xml:space="preserve">at the forefront of </w:t>
            </w:r>
            <w:r w:rsidR="0096596A" w:rsidRPr="003F1085">
              <w:rPr>
                <w:rFonts w:ascii="Arial" w:hAnsi="Arial" w:cs="Arial"/>
                <w:sz w:val="18"/>
                <w:szCs w:val="18"/>
              </w:rPr>
              <w:t>motor</w:t>
            </w:r>
            <w:r w:rsidR="00275165" w:rsidRPr="003F1085">
              <w:rPr>
                <w:rFonts w:ascii="Arial" w:hAnsi="Arial" w:cs="Arial"/>
                <w:sz w:val="18"/>
                <w:szCs w:val="18"/>
              </w:rPr>
              <w:t xml:space="preserve"> insur</w:t>
            </w:r>
            <w:r w:rsidR="008A349C" w:rsidRPr="003F1085">
              <w:rPr>
                <w:rFonts w:ascii="Arial" w:hAnsi="Arial" w:cs="Arial"/>
                <w:sz w:val="18"/>
                <w:szCs w:val="18"/>
              </w:rPr>
              <w:t>ance</w:t>
            </w:r>
            <w:r w:rsidR="00275165" w:rsidRPr="003F10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49C" w:rsidRPr="003F1085">
              <w:rPr>
                <w:rFonts w:ascii="Arial" w:hAnsi="Arial" w:cs="Arial"/>
                <w:sz w:val="18"/>
                <w:szCs w:val="18"/>
              </w:rPr>
              <w:t>pricing</w:t>
            </w:r>
          </w:p>
          <w:p w14:paraId="2C3CB670" w14:textId="77777777" w:rsidR="00176668" w:rsidRPr="003F1085" w:rsidRDefault="00176668" w:rsidP="009E197C">
            <w:pPr>
              <w:pStyle w:val="BodyText"/>
              <w:spacing w:after="0"/>
              <w:ind w:right="2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02FA900" w14:textId="77777777" w:rsidR="00176668" w:rsidRPr="003F1085" w:rsidRDefault="00176668" w:rsidP="009E197C">
            <w:pPr>
              <w:pStyle w:val="BodyText"/>
              <w:spacing w:after="0"/>
              <w:ind w:right="227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F733553" w14:textId="77777777" w:rsidR="00937155" w:rsidRPr="003F1085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sz w:val="18"/>
                <w:szCs w:val="18"/>
              </w:rPr>
              <w:t>Reports to:</w:t>
            </w:r>
          </w:p>
          <w:p w14:paraId="0D301692" w14:textId="597B6F58" w:rsidR="00C71352" w:rsidRPr="003F1085" w:rsidRDefault="00CF0354" w:rsidP="001B1D9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Pricing </w:t>
            </w:r>
            <w:r w:rsidR="00340A16" w:rsidRPr="003F1085">
              <w:rPr>
                <w:rFonts w:ascii="Arial" w:hAnsi="Arial" w:cs="Arial"/>
                <w:sz w:val="18"/>
                <w:szCs w:val="18"/>
              </w:rPr>
              <w:t>Manager</w:t>
            </w:r>
            <w:r w:rsidR="0090007A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90007A">
              <w:rPr>
                <w:rFonts w:ascii="Arial" w:hAnsi="Arial" w:cs="Arial"/>
                <w:sz w:val="18"/>
                <w:szCs w:val="18"/>
              </w:rPr>
              <w:t>HoD</w:t>
            </w:r>
            <w:proofErr w:type="spellEnd"/>
          </w:p>
          <w:p w14:paraId="6EFD7AB2" w14:textId="77777777" w:rsidR="001B1D94" w:rsidRPr="003F1085" w:rsidRDefault="001B1D94" w:rsidP="001B1D94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EA434" w14:textId="77777777" w:rsidR="009B354B" w:rsidRPr="003F1085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r w:rsidR="009B354B" w:rsidRPr="003F1085">
              <w:rPr>
                <w:rFonts w:ascii="Arial" w:hAnsi="Arial" w:cs="Arial"/>
                <w:b/>
                <w:sz w:val="18"/>
                <w:szCs w:val="18"/>
              </w:rPr>
              <w:t>Relationships:</w:t>
            </w:r>
          </w:p>
          <w:p w14:paraId="604E051A" w14:textId="77777777" w:rsidR="00A06474" w:rsidRPr="003F1085" w:rsidRDefault="00A06474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6A8B6" w14:textId="61C24D63" w:rsidR="00C71352" w:rsidRPr="003F1085" w:rsidRDefault="003F636C" w:rsidP="009E197C">
            <w:pPr>
              <w:numPr>
                <w:ilvl w:val="0"/>
                <w:numId w:val="31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Members of </w:t>
            </w:r>
            <w:r w:rsidR="00275165" w:rsidRPr="003F1085">
              <w:rPr>
                <w:rFonts w:ascii="Arial" w:hAnsi="Arial" w:cs="Arial"/>
                <w:sz w:val="18"/>
                <w:szCs w:val="18"/>
              </w:rPr>
              <w:t>Pricing, Finance</w:t>
            </w:r>
            <w:r w:rsidR="00457650" w:rsidRPr="003F1085">
              <w:rPr>
                <w:rFonts w:ascii="Arial" w:hAnsi="Arial" w:cs="Arial"/>
                <w:sz w:val="18"/>
                <w:szCs w:val="18"/>
              </w:rPr>
              <w:t xml:space="preserve"> &amp; Marketing</w:t>
            </w:r>
            <w:r w:rsidR="00500492" w:rsidRPr="003F1085">
              <w:rPr>
                <w:rFonts w:ascii="Arial" w:hAnsi="Arial" w:cs="Arial"/>
                <w:sz w:val="18"/>
                <w:szCs w:val="18"/>
              </w:rPr>
              <w:t xml:space="preserve"> teams</w:t>
            </w:r>
            <w:r w:rsidR="002661ED" w:rsidRPr="003F1085">
              <w:rPr>
                <w:rFonts w:ascii="Arial" w:hAnsi="Arial" w:cs="Arial"/>
                <w:sz w:val="18"/>
                <w:szCs w:val="18"/>
              </w:rPr>
              <w:t xml:space="preserve">, Data </w:t>
            </w:r>
            <w:proofErr w:type="gramStart"/>
            <w:r w:rsidR="002661ED" w:rsidRPr="003F1085">
              <w:rPr>
                <w:rFonts w:ascii="Arial" w:hAnsi="Arial" w:cs="Arial"/>
                <w:sz w:val="18"/>
                <w:szCs w:val="18"/>
              </w:rPr>
              <w:t>Management</w:t>
            </w:r>
            <w:proofErr w:type="gramEnd"/>
            <w:r w:rsidR="002661ED" w:rsidRPr="003F1085">
              <w:rPr>
                <w:rFonts w:ascii="Arial" w:hAnsi="Arial" w:cs="Arial"/>
                <w:sz w:val="18"/>
                <w:szCs w:val="18"/>
              </w:rPr>
              <w:t xml:space="preserve"> and IT  </w:t>
            </w:r>
          </w:p>
          <w:p w14:paraId="62232808" w14:textId="77777777" w:rsidR="00A06474" w:rsidRPr="003F1085" w:rsidRDefault="00A06474" w:rsidP="00EF3526">
            <w:pPr>
              <w:ind w:left="34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9C3938B" w14:textId="77777777" w:rsidR="004C52C8" w:rsidRPr="003F1085" w:rsidRDefault="004C52C8" w:rsidP="009E197C">
            <w:pPr>
              <w:contextualSpacing/>
              <w:rPr>
                <w:rFonts w:ascii="Arial" w:eastAsia="Batang" w:hAnsi="Arial" w:cs="Arial"/>
                <w:b/>
                <w:sz w:val="18"/>
                <w:szCs w:val="18"/>
              </w:rPr>
            </w:pPr>
          </w:p>
          <w:p w14:paraId="0FC47216" w14:textId="663BE7D6" w:rsidR="009C29C7" w:rsidRPr="003F1085" w:rsidRDefault="009C29C7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>Follow</w:t>
            </w:r>
            <w:r w:rsidR="003E3F37" w:rsidRPr="003F1085"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defined price change processes to ensure the accuracy and timeliness of prices deployed to </w:t>
            </w:r>
            <w:proofErr w:type="gramStart"/>
            <w:r w:rsidRPr="003F1085">
              <w:rPr>
                <w:rFonts w:ascii="Arial" w:eastAsia="Batang" w:hAnsi="Arial" w:cs="Arial"/>
                <w:sz w:val="18"/>
                <w:szCs w:val="18"/>
              </w:rPr>
              <w:t>market</w:t>
            </w:r>
            <w:proofErr w:type="gramEnd"/>
          </w:p>
          <w:p w14:paraId="6169106C" w14:textId="77777777" w:rsidR="00E51CEB" w:rsidRPr="003F1085" w:rsidRDefault="00E51CEB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Identify areas of weakness in price change processes and make recommendations for </w:t>
            </w:r>
            <w:proofErr w:type="gramStart"/>
            <w:r w:rsidRPr="003F1085">
              <w:rPr>
                <w:rFonts w:ascii="Arial" w:eastAsia="Batang" w:hAnsi="Arial" w:cs="Arial"/>
                <w:sz w:val="18"/>
                <w:szCs w:val="18"/>
              </w:rPr>
              <w:t>improvement</w:t>
            </w:r>
            <w:proofErr w:type="gramEnd"/>
          </w:p>
          <w:p w14:paraId="57E44163" w14:textId="194C2B0B" w:rsidR="002D19B4" w:rsidRPr="003F1085" w:rsidRDefault="00340A16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Seek pricing opportunities to </w:t>
            </w:r>
            <w:r w:rsidR="002D19B4" w:rsidRPr="003F1085">
              <w:rPr>
                <w:rFonts w:ascii="Arial" w:eastAsia="Batang" w:hAnsi="Arial" w:cs="Arial"/>
                <w:sz w:val="18"/>
                <w:szCs w:val="18"/>
              </w:rPr>
              <w:t xml:space="preserve">capitalise on unique business capabilities and allow the business to develop competitive pricing </w:t>
            </w:r>
            <w:proofErr w:type="gramStart"/>
            <w:r w:rsidR="002D19B4" w:rsidRPr="003F1085">
              <w:rPr>
                <w:rFonts w:ascii="Arial" w:eastAsia="Batang" w:hAnsi="Arial" w:cs="Arial"/>
                <w:sz w:val="18"/>
                <w:szCs w:val="18"/>
              </w:rPr>
              <w:t>advantage</w:t>
            </w:r>
            <w:proofErr w:type="gramEnd"/>
          </w:p>
          <w:p w14:paraId="02C6A7D8" w14:textId="77777777" w:rsidR="00930E47" w:rsidRPr="003F1085" w:rsidRDefault="00930E47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Produce analysis to understand the impact of price changes, from both a business and customer </w:t>
            </w:r>
            <w:proofErr w:type="gramStart"/>
            <w:r w:rsidRPr="003F1085">
              <w:rPr>
                <w:rFonts w:ascii="Arial" w:eastAsia="Batang" w:hAnsi="Arial" w:cs="Arial"/>
                <w:sz w:val="18"/>
                <w:szCs w:val="18"/>
              </w:rPr>
              <w:t>perspective</w:t>
            </w:r>
            <w:proofErr w:type="gramEnd"/>
          </w:p>
          <w:p w14:paraId="0AF5CAED" w14:textId="77777777" w:rsidR="00400C2D" w:rsidRPr="003F1085" w:rsidRDefault="00400C2D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Use your pricing experience, analytical and statistical skills to explore new predictive modelling techniques that could increase pricing </w:t>
            </w:r>
            <w:proofErr w:type="gramStart"/>
            <w:r w:rsidRPr="003F1085">
              <w:rPr>
                <w:rFonts w:ascii="Arial" w:eastAsia="Batang" w:hAnsi="Arial" w:cs="Arial"/>
                <w:sz w:val="18"/>
                <w:szCs w:val="18"/>
              </w:rPr>
              <w:t>value</w:t>
            </w:r>
            <w:proofErr w:type="gramEnd"/>
          </w:p>
          <w:p w14:paraId="337294AB" w14:textId="6A5A2F75" w:rsidR="002D19B4" w:rsidRPr="003F1085" w:rsidRDefault="002D19B4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Keep abreast of market best practice in insurance pricing, seek opportunities to learn from other industries and build pricing competitive </w:t>
            </w:r>
            <w:proofErr w:type="gramStart"/>
            <w:r w:rsidRPr="003F1085">
              <w:rPr>
                <w:rFonts w:ascii="Arial" w:eastAsia="Batang" w:hAnsi="Arial" w:cs="Arial"/>
                <w:sz w:val="18"/>
                <w:szCs w:val="18"/>
              </w:rPr>
              <w:t>advantage</w:t>
            </w:r>
            <w:proofErr w:type="gramEnd"/>
          </w:p>
          <w:p w14:paraId="20DB920B" w14:textId="34D743FB" w:rsidR="00633664" w:rsidRPr="003F1085" w:rsidRDefault="00633664" w:rsidP="002D19B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>Mentor more junior members of the team on a technical level</w:t>
            </w:r>
          </w:p>
          <w:p w14:paraId="4E9DDF4B" w14:textId="77777777" w:rsidR="009675AB" w:rsidRPr="003F1085" w:rsidRDefault="009675A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4E9C17" w14:textId="6F8EA6B2" w:rsidR="00937155" w:rsidRPr="003F1085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sz w:val="18"/>
                <w:szCs w:val="18"/>
              </w:rPr>
              <w:t>Key Performance Indicators:</w:t>
            </w:r>
          </w:p>
          <w:p w14:paraId="15C6F02E" w14:textId="77777777" w:rsidR="00937155" w:rsidRPr="003F1085" w:rsidRDefault="00937155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26D2B4" w14:textId="361E0383" w:rsidR="004F5986" w:rsidRPr="003F1085" w:rsidRDefault="004F5986" w:rsidP="004F5986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Income Per Policy</w:t>
            </w:r>
            <w:r w:rsidR="000B4339" w:rsidRPr="003F1085">
              <w:rPr>
                <w:rFonts w:ascii="Arial" w:hAnsi="Arial" w:cs="Arial"/>
                <w:sz w:val="18"/>
                <w:szCs w:val="18"/>
              </w:rPr>
              <w:t xml:space="preserve"> targets </w:t>
            </w:r>
            <w:proofErr w:type="gramStart"/>
            <w:r w:rsidR="000B4339" w:rsidRPr="003F1085">
              <w:rPr>
                <w:rFonts w:ascii="Arial" w:hAnsi="Arial" w:cs="Arial"/>
                <w:sz w:val="18"/>
                <w:szCs w:val="18"/>
              </w:rPr>
              <w:t>delivered</w:t>
            </w:r>
            <w:proofErr w:type="gramEnd"/>
          </w:p>
          <w:p w14:paraId="2C26E9CC" w14:textId="5ADBC1D0" w:rsidR="000B4339" w:rsidRPr="003F1085" w:rsidRDefault="000B4339" w:rsidP="001151A5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>Frequent</w:t>
            </w:r>
            <w:r w:rsidR="00D82135" w:rsidRPr="003F1085">
              <w:rPr>
                <w:rFonts w:ascii="Arial" w:eastAsia="Batang" w:hAnsi="Arial" w:cs="Arial"/>
                <w:sz w:val="18"/>
                <w:szCs w:val="18"/>
              </w:rPr>
              <w:t xml:space="preserve">, effective model changes deployed without </w:t>
            </w:r>
            <w:proofErr w:type="gramStart"/>
            <w:r w:rsidR="00D82135" w:rsidRPr="003F1085">
              <w:rPr>
                <w:rFonts w:ascii="Arial" w:eastAsia="Batang" w:hAnsi="Arial" w:cs="Arial"/>
                <w:sz w:val="18"/>
                <w:szCs w:val="18"/>
              </w:rPr>
              <w:t>error</w:t>
            </w:r>
            <w:proofErr w:type="gramEnd"/>
          </w:p>
          <w:p w14:paraId="3BA73A61" w14:textId="59797654" w:rsidR="00CE68A4" w:rsidRPr="003F1085" w:rsidRDefault="00CE68A4" w:rsidP="001151A5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Continuous improvement in </w:t>
            </w:r>
            <w:r w:rsidR="009968EA" w:rsidRPr="003F1085">
              <w:rPr>
                <w:rFonts w:ascii="Arial" w:eastAsia="Batang" w:hAnsi="Arial" w:cs="Arial"/>
                <w:sz w:val="18"/>
                <w:szCs w:val="18"/>
              </w:rPr>
              <w:t xml:space="preserve">value created through pricing model </w:t>
            </w:r>
            <w:proofErr w:type="gramStart"/>
            <w:r w:rsidR="009968EA" w:rsidRPr="003F1085">
              <w:rPr>
                <w:rFonts w:ascii="Arial" w:eastAsia="Batang" w:hAnsi="Arial" w:cs="Arial"/>
                <w:sz w:val="18"/>
                <w:szCs w:val="18"/>
              </w:rPr>
              <w:t>change</w:t>
            </w:r>
            <w:proofErr w:type="gramEnd"/>
          </w:p>
          <w:p w14:paraId="108ABCCA" w14:textId="69F0801F" w:rsidR="00C737CC" w:rsidRPr="003F1085" w:rsidRDefault="00C737CC" w:rsidP="00C737CC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>Technical and professional development</w:t>
            </w:r>
          </w:p>
          <w:p w14:paraId="525A4273" w14:textId="6AD80F62" w:rsidR="00CE68A4" w:rsidRPr="003F1085" w:rsidRDefault="00C737CC" w:rsidP="00CE68A4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>Strong</w:t>
            </w:r>
            <w:r w:rsidR="001151A5" w:rsidRPr="003F1085">
              <w:rPr>
                <w:rFonts w:ascii="Arial" w:eastAsia="Batang" w:hAnsi="Arial" w:cs="Arial"/>
                <w:sz w:val="18"/>
                <w:szCs w:val="18"/>
              </w:rPr>
              <w:t xml:space="preserve"> relationships </w:t>
            </w:r>
            <w:r w:rsidR="00BB1750" w:rsidRPr="003F1085">
              <w:rPr>
                <w:rFonts w:ascii="Arial" w:eastAsia="Batang" w:hAnsi="Arial" w:cs="Arial"/>
                <w:sz w:val="18"/>
                <w:szCs w:val="18"/>
              </w:rPr>
              <w:t>with peers</w:t>
            </w:r>
            <w:r w:rsidR="001151A5" w:rsidRPr="003F1085">
              <w:rPr>
                <w:rFonts w:ascii="Arial" w:eastAsia="Batang" w:hAnsi="Arial" w:cs="Arial"/>
                <w:sz w:val="18"/>
                <w:szCs w:val="18"/>
              </w:rPr>
              <w:t xml:space="preserve"> facilitat</w:t>
            </w:r>
            <w:r w:rsidRPr="003F1085">
              <w:rPr>
                <w:rFonts w:ascii="Arial" w:eastAsia="Batang" w:hAnsi="Arial" w:cs="Arial"/>
                <w:sz w:val="18"/>
                <w:szCs w:val="18"/>
              </w:rPr>
              <w:t>ing</w:t>
            </w:r>
            <w:r w:rsidR="001151A5" w:rsidRPr="003F1085">
              <w:rPr>
                <w:rFonts w:ascii="Arial" w:eastAsia="Batang" w:hAnsi="Arial" w:cs="Arial"/>
                <w:sz w:val="18"/>
                <w:szCs w:val="18"/>
              </w:rPr>
              <w:t xml:space="preserve"> cross-functional problem solving and strategic </w:t>
            </w:r>
            <w:proofErr w:type="gramStart"/>
            <w:r w:rsidR="001151A5" w:rsidRPr="003F1085">
              <w:rPr>
                <w:rFonts w:ascii="Arial" w:eastAsia="Batang" w:hAnsi="Arial" w:cs="Arial"/>
                <w:sz w:val="18"/>
                <w:szCs w:val="18"/>
              </w:rPr>
              <w:t>developments</w:t>
            </w:r>
            <w:proofErr w:type="gramEnd"/>
          </w:p>
          <w:p w14:paraId="186B6965" w14:textId="6448C995" w:rsidR="00937155" w:rsidRPr="003F1085" w:rsidRDefault="00937155" w:rsidP="008A1076">
            <w:pPr>
              <w:pStyle w:val="ListParagraph"/>
              <w:numPr>
                <w:ilvl w:val="0"/>
                <w:numId w:val="35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Compliance with all app</w:t>
            </w:r>
            <w:r w:rsidR="00A41D28" w:rsidRPr="003F1085">
              <w:rPr>
                <w:rFonts w:ascii="Arial" w:hAnsi="Arial" w:cs="Arial"/>
                <w:sz w:val="18"/>
                <w:szCs w:val="18"/>
              </w:rPr>
              <w:t>licable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 company </w:t>
            </w:r>
            <w:r w:rsidR="00EC5F38" w:rsidRPr="003F1085">
              <w:rPr>
                <w:rFonts w:ascii="Arial" w:hAnsi="Arial" w:cs="Arial"/>
                <w:sz w:val="18"/>
                <w:szCs w:val="18"/>
              </w:rPr>
              <w:t>p</w:t>
            </w:r>
            <w:r w:rsidRPr="003F1085">
              <w:rPr>
                <w:rFonts w:ascii="Arial" w:hAnsi="Arial" w:cs="Arial"/>
                <w:sz w:val="18"/>
                <w:szCs w:val="18"/>
              </w:rPr>
              <w:t>olicies</w:t>
            </w:r>
            <w:r w:rsidR="00A41D28" w:rsidRPr="003F1085">
              <w:rPr>
                <w:rFonts w:ascii="Arial" w:hAnsi="Arial" w:cs="Arial"/>
                <w:sz w:val="18"/>
                <w:szCs w:val="18"/>
              </w:rPr>
              <w:t>, pricing governance and regulation</w:t>
            </w:r>
          </w:p>
        </w:tc>
        <w:tc>
          <w:tcPr>
            <w:tcW w:w="3544" w:type="dxa"/>
            <w:shd w:val="clear" w:color="auto" w:fill="auto"/>
          </w:tcPr>
          <w:p w14:paraId="6BB70E6C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1310E" w14:textId="5A11C12F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sz w:val="18"/>
                <w:szCs w:val="18"/>
              </w:rPr>
              <w:t>Skills/Knowledge/Experience</w:t>
            </w:r>
          </w:p>
          <w:p w14:paraId="70B3CE9C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FF6E6D" w14:textId="7CCD53B6" w:rsidR="0007058B" w:rsidRPr="003F1085" w:rsidRDefault="0007058B" w:rsidP="00DE5A14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Experience </w:t>
            </w:r>
            <w:r w:rsidR="00D30040" w:rsidRPr="003F1085">
              <w:rPr>
                <w:rFonts w:ascii="Arial" w:eastAsia="Batang" w:hAnsi="Arial" w:cs="Arial"/>
                <w:sz w:val="18"/>
                <w:szCs w:val="18"/>
              </w:rPr>
              <w:t xml:space="preserve">developing and deploying pricing </w:t>
            </w:r>
            <w:proofErr w:type="gramStart"/>
            <w:r w:rsidR="00D30040" w:rsidRPr="003F1085">
              <w:rPr>
                <w:rFonts w:ascii="Arial" w:eastAsia="Batang" w:hAnsi="Arial" w:cs="Arial"/>
                <w:sz w:val="18"/>
                <w:szCs w:val="18"/>
              </w:rPr>
              <w:t>models</w:t>
            </w:r>
            <w:proofErr w:type="gramEnd"/>
          </w:p>
          <w:p w14:paraId="2ADB5736" w14:textId="0005EDA4" w:rsidR="00481E11" w:rsidRPr="003F1085" w:rsidRDefault="00481E11" w:rsidP="00DE5A14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Prioritise your own work effectively to deliver agreed objectives, anticipate delivery issues before they arise and seek </w:t>
            </w:r>
            <w:proofErr w:type="gramStart"/>
            <w:r w:rsidRPr="003F1085">
              <w:rPr>
                <w:rFonts w:ascii="Arial" w:eastAsia="Batang" w:hAnsi="Arial" w:cs="Arial"/>
                <w:sz w:val="18"/>
                <w:szCs w:val="18"/>
              </w:rPr>
              <w:t>support</w:t>
            </w:r>
            <w:proofErr w:type="gramEnd"/>
          </w:p>
          <w:p w14:paraId="3FECA6DE" w14:textId="3EF07352" w:rsidR="00D71683" w:rsidRPr="003F1085" w:rsidRDefault="0077319D" w:rsidP="00DE5A14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bCs/>
                <w:sz w:val="18"/>
                <w:szCs w:val="18"/>
              </w:rPr>
              <w:t>Deep t</w:t>
            </w:r>
            <w:r w:rsidR="00807A98" w:rsidRPr="003F1085">
              <w:rPr>
                <w:rFonts w:ascii="Arial" w:hAnsi="Arial" w:cs="Arial"/>
                <w:bCs/>
                <w:sz w:val="18"/>
                <w:szCs w:val="18"/>
              </w:rPr>
              <w:t>echnical understanding</w:t>
            </w:r>
            <w:r w:rsidR="00246BD1" w:rsidRPr="003F1085">
              <w:rPr>
                <w:rFonts w:ascii="Arial" w:hAnsi="Arial" w:cs="Arial"/>
                <w:bCs/>
                <w:sz w:val="18"/>
                <w:szCs w:val="18"/>
              </w:rPr>
              <w:t xml:space="preserve"> of</w:t>
            </w:r>
            <w:r w:rsidR="008A1076" w:rsidRPr="003F10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07A98" w:rsidRPr="003F108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8A1076" w:rsidRPr="003F1085">
              <w:rPr>
                <w:rFonts w:ascii="Arial" w:hAnsi="Arial" w:cs="Arial"/>
                <w:bCs/>
                <w:sz w:val="18"/>
                <w:szCs w:val="18"/>
              </w:rPr>
              <w:t xml:space="preserve">redictive </w:t>
            </w:r>
            <w:r w:rsidR="00807A98" w:rsidRPr="003F1085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8A1076" w:rsidRPr="003F1085">
              <w:rPr>
                <w:rFonts w:ascii="Arial" w:hAnsi="Arial" w:cs="Arial"/>
                <w:bCs/>
                <w:sz w:val="18"/>
                <w:szCs w:val="18"/>
              </w:rPr>
              <w:t>odelling techniques</w:t>
            </w:r>
            <w:r w:rsidRPr="003F1085">
              <w:rPr>
                <w:rFonts w:ascii="Arial" w:hAnsi="Arial" w:cs="Arial"/>
                <w:bCs/>
                <w:sz w:val="18"/>
                <w:szCs w:val="18"/>
              </w:rPr>
              <w:t xml:space="preserve"> (e.g. GLM, GAM, GBM etc)</w:t>
            </w:r>
          </w:p>
          <w:p w14:paraId="7B754FB2" w14:textId="33A62E8C" w:rsidR="00DC64B6" w:rsidRPr="003F1085" w:rsidRDefault="00FF0431" w:rsidP="00DE5A14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Ability to manipulate</w:t>
            </w:r>
            <w:r w:rsidR="00BE3E90" w:rsidRPr="003F1085">
              <w:rPr>
                <w:rFonts w:ascii="Arial" w:hAnsi="Arial" w:cs="Arial"/>
                <w:sz w:val="18"/>
                <w:szCs w:val="18"/>
              </w:rPr>
              <w:t xml:space="preserve"> large volumes of</w:t>
            </w:r>
            <w:r w:rsidR="00C0416B" w:rsidRPr="003F1085">
              <w:rPr>
                <w:rFonts w:ascii="Arial" w:hAnsi="Arial" w:cs="Arial"/>
                <w:sz w:val="18"/>
                <w:szCs w:val="18"/>
              </w:rPr>
              <w:t xml:space="preserve"> data to </w:t>
            </w:r>
            <w:r w:rsidR="00BE3E90" w:rsidRPr="003F1085">
              <w:rPr>
                <w:rFonts w:ascii="Arial" w:hAnsi="Arial" w:cs="Arial"/>
                <w:sz w:val="18"/>
                <w:szCs w:val="18"/>
              </w:rPr>
              <w:t xml:space="preserve">build predictive </w:t>
            </w:r>
            <w:proofErr w:type="gramStart"/>
            <w:r w:rsidR="00BE3E90" w:rsidRPr="003F1085">
              <w:rPr>
                <w:rFonts w:ascii="Arial" w:hAnsi="Arial" w:cs="Arial"/>
                <w:sz w:val="18"/>
                <w:szCs w:val="18"/>
              </w:rPr>
              <w:t>models</w:t>
            </w:r>
            <w:proofErr w:type="gramEnd"/>
          </w:p>
          <w:p w14:paraId="6E1C425B" w14:textId="532FFE01" w:rsidR="00807A98" w:rsidRPr="003F1085" w:rsidRDefault="00A71997" w:rsidP="00807A98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Experience in applying predictive modelling and statistical </w:t>
            </w:r>
            <w:r w:rsidR="00793C5B" w:rsidRPr="003F1085">
              <w:rPr>
                <w:rFonts w:ascii="Arial" w:hAnsi="Arial" w:cs="Arial"/>
                <w:sz w:val="18"/>
                <w:szCs w:val="18"/>
              </w:rPr>
              <w:t>analysis in</w:t>
            </w:r>
            <w:r w:rsidR="00807A98" w:rsidRPr="003F10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07A98" w:rsidRPr="003F1085">
              <w:rPr>
                <w:rFonts w:ascii="Arial" w:hAnsi="Arial" w:cs="Arial"/>
                <w:sz w:val="18"/>
                <w:szCs w:val="18"/>
              </w:rPr>
              <w:t>pricing</w:t>
            </w:r>
            <w:proofErr w:type="gramEnd"/>
          </w:p>
          <w:p w14:paraId="21FB9CC9" w14:textId="43350ECB" w:rsidR="00117D53" w:rsidRPr="003F1085" w:rsidRDefault="00117D53" w:rsidP="00117D53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Ability to make persuasive arguments to senior </w:t>
            </w:r>
            <w:r w:rsidR="00C364B5" w:rsidRPr="003F1085">
              <w:rPr>
                <w:rFonts w:ascii="Arial" w:eastAsia="Batang" w:hAnsi="Arial" w:cs="Arial"/>
                <w:sz w:val="18"/>
                <w:szCs w:val="18"/>
              </w:rPr>
              <w:t>managers</w:t>
            </w:r>
            <w:r w:rsidRPr="003F1085"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  <w:r w:rsidR="00325B0E" w:rsidRPr="003F1085">
              <w:rPr>
                <w:rFonts w:ascii="Arial" w:eastAsia="Batang" w:hAnsi="Arial" w:cs="Arial"/>
                <w:sz w:val="18"/>
                <w:szCs w:val="18"/>
              </w:rPr>
              <w:t xml:space="preserve">and </w:t>
            </w:r>
            <w:r w:rsidR="00C364B5" w:rsidRPr="003F1085">
              <w:rPr>
                <w:rFonts w:ascii="Arial" w:eastAsia="Batang" w:hAnsi="Arial" w:cs="Arial"/>
                <w:sz w:val="18"/>
                <w:szCs w:val="18"/>
              </w:rPr>
              <w:t xml:space="preserve">make </w:t>
            </w:r>
            <w:proofErr w:type="gramStart"/>
            <w:r w:rsidR="00C364B5" w:rsidRPr="003F1085">
              <w:rPr>
                <w:rFonts w:ascii="Arial" w:eastAsia="Batang" w:hAnsi="Arial" w:cs="Arial"/>
                <w:sz w:val="18"/>
                <w:szCs w:val="18"/>
              </w:rPr>
              <w:t>recommendations</w:t>
            </w:r>
            <w:proofErr w:type="gramEnd"/>
          </w:p>
          <w:p w14:paraId="0535F998" w14:textId="0A91D939" w:rsidR="003F636C" w:rsidRPr="003F1085" w:rsidRDefault="002B56CB" w:rsidP="00117D53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Extensive</w:t>
            </w:r>
            <w:r w:rsidR="009E197C" w:rsidRPr="003F1085">
              <w:rPr>
                <w:rFonts w:ascii="Arial" w:hAnsi="Arial" w:cs="Arial"/>
                <w:sz w:val="18"/>
                <w:szCs w:val="18"/>
              </w:rPr>
              <w:t xml:space="preserve"> software skills. Notably</w:t>
            </w:r>
            <w:r w:rsidR="00F01582" w:rsidRPr="003F1085">
              <w:rPr>
                <w:rFonts w:ascii="Arial" w:hAnsi="Arial" w:cs="Arial"/>
                <w:sz w:val="18"/>
                <w:szCs w:val="18"/>
              </w:rPr>
              <w:t xml:space="preserve"> applied use of</w:t>
            </w:r>
            <w:r w:rsidR="00853956" w:rsidRPr="003F10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1582" w:rsidRPr="003F1085">
              <w:rPr>
                <w:rFonts w:ascii="Arial" w:hAnsi="Arial" w:cs="Arial"/>
                <w:sz w:val="18"/>
                <w:szCs w:val="18"/>
              </w:rPr>
              <w:t>Radar, EMBLEM</w:t>
            </w:r>
            <w:r w:rsidR="00DC64B6" w:rsidRPr="003F1085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853956" w:rsidRPr="003F1085">
              <w:rPr>
                <w:rFonts w:ascii="Arial" w:hAnsi="Arial" w:cs="Arial"/>
                <w:sz w:val="18"/>
                <w:szCs w:val="18"/>
              </w:rPr>
              <w:t xml:space="preserve"> SQL</w:t>
            </w:r>
            <w:r w:rsidR="00EF3526" w:rsidRPr="003F10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B4E12A" w14:textId="77777777" w:rsidR="00C71352" w:rsidRPr="003F1085" w:rsidRDefault="00C71352" w:rsidP="009E19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2EAA6C" w14:textId="77777777" w:rsidR="00C71352" w:rsidRPr="003F1085" w:rsidRDefault="00C71352" w:rsidP="009E197C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4CEAD8" w14:textId="77777777" w:rsidR="007F0FE0" w:rsidRPr="003F1085" w:rsidRDefault="007F0FE0" w:rsidP="009E197C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 Attributes: </w:t>
            </w:r>
          </w:p>
          <w:p w14:paraId="26DA49BF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50EF2" w14:textId="01917A78" w:rsidR="00B60F56" w:rsidRPr="003F1085" w:rsidRDefault="00B60F56" w:rsidP="00B60F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Comfortable working in a fast</w:t>
            </w:r>
            <w:r w:rsidR="008E036F" w:rsidRPr="003F1085">
              <w:rPr>
                <w:rFonts w:ascii="Arial" w:hAnsi="Arial" w:cs="Arial"/>
                <w:sz w:val="18"/>
                <w:szCs w:val="18"/>
              </w:rPr>
              <w:t>-</w:t>
            </w:r>
            <w:r w:rsidRPr="003F1085">
              <w:rPr>
                <w:rFonts w:ascii="Arial" w:hAnsi="Arial" w:cs="Arial"/>
                <w:sz w:val="18"/>
                <w:szCs w:val="18"/>
              </w:rPr>
              <w:t>paced environment</w:t>
            </w:r>
          </w:p>
          <w:p w14:paraId="49649AC5" w14:textId="003C5207" w:rsidR="00B60F56" w:rsidRPr="003F1085" w:rsidRDefault="00B60F56" w:rsidP="00B60F5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Comfortable making decisions and draw</w:t>
            </w:r>
            <w:r w:rsidR="00C46182" w:rsidRPr="003F1085">
              <w:rPr>
                <w:rFonts w:ascii="Arial" w:hAnsi="Arial" w:cs="Arial"/>
                <w:sz w:val="18"/>
                <w:szCs w:val="18"/>
              </w:rPr>
              <w:t>ing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F1085">
              <w:rPr>
                <w:rFonts w:ascii="Arial" w:hAnsi="Arial" w:cs="Arial"/>
                <w:sz w:val="18"/>
                <w:szCs w:val="18"/>
              </w:rPr>
              <w:t>conclusions</w:t>
            </w:r>
            <w:proofErr w:type="gramEnd"/>
          </w:p>
          <w:p w14:paraId="3CD2DD61" w14:textId="77777777" w:rsidR="0076684B" w:rsidRPr="003F1085" w:rsidRDefault="0076684B" w:rsidP="00DE5A14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Ability to build relationships and </w:t>
            </w:r>
            <w:proofErr w:type="gramStart"/>
            <w:r w:rsidRPr="003F1085">
              <w:rPr>
                <w:rFonts w:ascii="Arial" w:hAnsi="Arial" w:cs="Arial"/>
                <w:sz w:val="18"/>
                <w:szCs w:val="18"/>
              </w:rPr>
              <w:t>trust</w:t>
            </w:r>
            <w:proofErr w:type="gramEnd"/>
          </w:p>
          <w:p w14:paraId="0083A0EB" w14:textId="77777777" w:rsidR="0076684B" w:rsidRPr="003F1085" w:rsidRDefault="0076684B" w:rsidP="00DE5A14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Highly motivated</w:t>
            </w:r>
          </w:p>
          <w:p w14:paraId="18AA4943" w14:textId="7AAF9E31" w:rsidR="00C71352" w:rsidRPr="003F1085" w:rsidRDefault="00C46182" w:rsidP="00902B1A">
            <w:pPr>
              <w:numPr>
                <w:ilvl w:val="0"/>
                <w:numId w:val="32"/>
              </w:numPr>
              <w:contextualSpacing/>
              <w:rPr>
                <w:rFonts w:ascii="Arial" w:eastAsia="Batang" w:hAnsi="Arial" w:cs="Arial"/>
                <w:sz w:val="18"/>
                <w:szCs w:val="18"/>
              </w:rPr>
            </w:pPr>
            <w:r w:rsidRPr="003F1085">
              <w:rPr>
                <w:rFonts w:ascii="Arial" w:eastAsia="Batang" w:hAnsi="Arial" w:cs="Arial"/>
                <w:sz w:val="18"/>
                <w:szCs w:val="18"/>
              </w:rPr>
              <w:t>Sets high standard</w:t>
            </w:r>
            <w:r w:rsidR="00316255" w:rsidRPr="003F1085">
              <w:rPr>
                <w:rFonts w:ascii="Arial" w:eastAsia="Batang" w:hAnsi="Arial" w:cs="Arial"/>
                <w:sz w:val="18"/>
                <w:szCs w:val="18"/>
              </w:rPr>
              <w:t>s</w:t>
            </w:r>
            <w:r w:rsidR="00DE5A14" w:rsidRPr="003F1085">
              <w:rPr>
                <w:rFonts w:ascii="Arial" w:eastAsia="Batang" w:hAnsi="Arial" w:cs="Arial"/>
                <w:sz w:val="18"/>
                <w:szCs w:val="18"/>
              </w:rPr>
              <w:t xml:space="preserve">; deliver high quality, relevant and commercially effective </w:t>
            </w:r>
            <w:proofErr w:type="gramStart"/>
            <w:r w:rsidR="00DE5A14" w:rsidRPr="003F1085">
              <w:rPr>
                <w:rFonts w:ascii="Arial" w:eastAsia="Batang" w:hAnsi="Arial" w:cs="Arial"/>
                <w:sz w:val="18"/>
                <w:szCs w:val="18"/>
              </w:rPr>
              <w:t>analysis</w:t>
            </w:r>
            <w:proofErr w:type="gramEnd"/>
          </w:p>
          <w:p w14:paraId="57C94BBB" w14:textId="77777777" w:rsidR="00C71352" w:rsidRPr="003F1085" w:rsidRDefault="00C71352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B2E35" w14:textId="77777777" w:rsidR="009B354B" w:rsidRPr="003F1085" w:rsidRDefault="00CF623E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sz w:val="18"/>
                <w:szCs w:val="18"/>
              </w:rPr>
              <w:t>Qualifications/FC</w:t>
            </w:r>
            <w:r w:rsidR="009B354B" w:rsidRPr="003F1085">
              <w:rPr>
                <w:rFonts w:ascii="Arial" w:hAnsi="Arial" w:cs="Arial"/>
                <w:b/>
                <w:sz w:val="18"/>
                <w:szCs w:val="18"/>
              </w:rPr>
              <w:t>A:</w:t>
            </w:r>
          </w:p>
          <w:p w14:paraId="0AD888F7" w14:textId="77777777" w:rsidR="009B354B" w:rsidRPr="003F1085" w:rsidRDefault="009B354B" w:rsidP="009E197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B19D0" w14:textId="3E54C9FE" w:rsidR="0076684B" w:rsidRPr="003F1085" w:rsidRDefault="007B14A2" w:rsidP="00DE5A14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Numerical</w:t>
            </w:r>
            <w:r w:rsidR="0076684B" w:rsidRPr="003F1085">
              <w:rPr>
                <w:rFonts w:ascii="Arial" w:hAnsi="Arial" w:cs="Arial"/>
                <w:sz w:val="18"/>
                <w:szCs w:val="18"/>
              </w:rPr>
              <w:t xml:space="preserve"> degree </w:t>
            </w:r>
            <w:r w:rsidRPr="003F1085">
              <w:rPr>
                <w:rFonts w:ascii="Arial" w:hAnsi="Arial" w:cs="Arial"/>
                <w:sz w:val="18"/>
                <w:szCs w:val="18"/>
              </w:rPr>
              <w:t>grade 2.1 or above</w:t>
            </w:r>
          </w:p>
          <w:p w14:paraId="55D5E96B" w14:textId="4683E96A" w:rsidR="00316255" w:rsidRPr="003F1085" w:rsidRDefault="00316255" w:rsidP="00DE5A14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>A-level maths grade A or above</w:t>
            </w:r>
          </w:p>
          <w:p w14:paraId="34EA0F3D" w14:textId="5B35708A" w:rsidR="009B354B" w:rsidRPr="003F1085" w:rsidRDefault="000E64A0" w:rsidP="00E854DF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Useful: </w:t>
            </w:r>
            <w:r w:rsidR="00BB1750" w:rsidRPr="003F1085">
              <w:rPr>
                <w:rFonts w:ascii="Arial" w:hAnsi="Arial" w:cs="Arial"/>
                <w:sz w:val="18"/>
                <w:szCs w:val="18"/>
              </w:rPr>
              <w:t>part-</w:t>
            </w:r>
            <w:r w:rsidRPr="003F1085">
              <w:rPr>
                <w:rFonts w:ascii="Arial" w:hAnsi="Arial" w:cs="Arial"/>
                <w:sz w:val="18"/>
                <w:szCs w:val="18"/>
              </w:rPr>
              <w:t xml:space="preserve">qualified </w:t>
            </w:r>
            <w:r w:rsidR="00B746CD" w:rsidRPr="003F1085">
              <w:rPr>
                <w:rFonts w:ascii="Arial" w:hAnsi="Arial" w:cs="Arial"/>
                <w:sz w:val="18"/>
                <w:szCs w:val="18"/>
              </w:rPr>
              <w:t xml:space="preserve">Actuary or CII </w:t>
            </w:r>
          </w:p>
        </w:tc>
        <w:tc>
          <w:tcPr>
            <w:tcW w:w="2977" w:type="dxa"/>
            <w:shd w:val="clear" w:color="auto" w:fill="auto"/>
          </w:tcPr>
          <w:p w14:paraId="1E5AB666" w14:textId="77777777" w:rsidR="00837880" w:rsidRPr="003F1085" w:rsidRDefault="00837880" w:rsidP="00837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FF3736" w14:textId="6DC0F3ED" w:rsidR="00837880" w:rsidRPr="003F1085" w:rsidRDefault="00837880" w:rsidP="00837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bCs/>
                <w:sz w:val="18"/>
                <w:szCs w:val="18"/>
              </w:rPr>
              <w:t>Core competencies:</w:t>
            </w:r>
          </w:p>
          <w:p w14:paraId="0CF5FFA4" w14:textId="77777777" w:rsidR="00837880" w:rsidRPr="003F1085" w:rsidRDefault="00837880" w:rsidP="008378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1F14EE" w14:textId="6C9074F1" w:rsidR="00540CFB" w:rsidRPr="00F37171" w:rsidRDefault="00540CFB" w:rsidP="00540CF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37171">
              <w:rPr>
                <w:rFonts w:ascii="Arial" w:hAnsi="Arial" w:cs="Arial"/>
                <w:sz w:val="18"/>
                <w:szCs w:val="18"/>
              </w:rPr>
              <w:t>Achievement Drive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B72D8B5" w14:textId="32649D35" w:rsidR="00540CFB" w:rsidRPr="00F37171" w:rsidRDefault="00540CFB" w:rsidP="00540CF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37171">
              <w:rPr>
                <w:rFonts w:ascii="Arial" w:hAnsi="Arial" w:cs="Arial"/>
                <w:sz w:val="18"/>
                <w:szCs w:val="18"/>
              </w:rPr>
              <w:t>Building Relationships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FF08778" w14:textId="029FFA4B" w:rsidR="00540CFB" w:rsidRPr="00F37171" w:rsidRDefault="00540CFB" w:rsidP="00540CF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37171">
              <w:rPr>
                <w:rFonts w:ascii="Arial" w:hAnsi="Arial" w:cs="Arial"/>
                <w:sz w:val="18"/>
                <w:szCs w:val="18"/>
              </w:rPr>
              <w:t>Interpersonal &amp; Influencing Skills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98A0021" w14:textId="37A40F37" w:rsidR="00540CFB" w:rsidRPr="00F37171" w:rsidRDefault="00540CFB" w:rsidP="00540CF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37171">
              <w:rPr>
                <w:rFonts w:ascii="Arial" w:hAnsi="Arial" w:cs="Arial"/>
                <w:sz w:val="18"/>
                <w:szCs w:val="18"/>
              </w:rPr>
              <w:t>Judgement &amp; Decision Making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E53F92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E33BD4B" w14:textId="7048A458" w:rsidR="00540CFB" w:rsidRPr="00F37171" w:rsidRDefault="00540CFB" w:rsidP="00540CF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37171">
              <w:rPr>
                <w:rFonts w:ascii="Arial" w:hAnsi="Arial" w:cs="Arial"/>
                <w:sz w:val="18"/>
                <w:szCs w:val="18"/>
              </w:rPr>
              <w:t>Team Working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47D9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1F1AEC8" w14:textId="7C3E2474" w:rsidR="00540CFB" w:rsidRPr="00F37171" w:rsidRDefault="00540CFB" w:rsidP="00540CF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F37171">
              <w:rPr>
                <w:rFonts w:ascii="Arial" w:hAnsi="Arial" w:cs="Arial"/>
                <w:sz w:val="18"/>
                <w:szCs w:val="18"/>
              </w:rPr>
              <w:t>Commercial Awareness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547D9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5419A51" w14:textId="77777777" w:rsidR="00837880" w:rsidRPr="003F1085" w:rsidRDefault="00837880" w:rsidP="008378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9FE40" w14:textId="77777777" w:rsidR="00837880" w:rsidRPr="003F1085" w:rsidRDefault="00837880" w:rsidP="00837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085">
              <w:rPr>
                <w:rFonts w:ascii="Arial" w:hAnsi="Arial" w:cs="Arial"/>
                <w:b/>
                <w:bCs/>
                <w:sz w:val="18"/>
                <w:szCs w:val="18"/>
              </w:rPr>
              <w:t>Location:</w:t>
            </w:r>
          </w:p>
          <w:p w14:paraId="702BBB82" w14:textId="77777777" w:rsidR="00837880" w:rsidRPr="003F1085" w:rsidRDefault="00837880" w:rsidP="00837880">
            <w:pPr>
              <w:numPr>
                <w:ilvl w:val="0"/>
                <w:numId w:val="41"/>
              </w:numPr>
              <w:rPr>
                <w:rFonts w:ascii="Arial" w:hAnsi="Arial" w:cs="Arial"/>
                <w:sz w:val="18"/>
                <w:szCs w:val="18"/>
              </w:rPr>
            </w:pPr>
            <w:r w:rsidRPr="003F1085">
              <w:rPr>
                <w:rFonts w:ascii="Arial" w:hAnsi="Arial" w:cs="Arial"/>
                <w:sz w:val="18"/>
                <w:szCs w:val="18"/>
              </w:rPr>
              <w:t xml:space="preserve">Hybrid working with </w:t>
            </w:r>
            <w:proofErr w:type="gramStart"/>
            <w:r w:rsidRPr="003F1085">
              <w:rPr>
                <w:rFonts w:ascii="Arial" w:hAnsi="Arial" w:cs="Arial"/>
                <w:sz w:val="18"/>
                <w:szCs w:val="18"/>
              </w:rPr>
              <w:t>the  requirement</w:t>
            </w:r>
            <w:proofErr w:type="gramEnd"/>
            <w:r w:rsidRPr="003F1085">
              <w:rPr>
                <w:rFonts w:ascii="Arial" w:hAnsi="Arial" w:cs="Arial"/>
                <w:sz w:val="18"/>
                <w:szCs w:val="18"/>
              </w:rPr>
              <w:t xml:space="preserve"> to work out of the Bristol office twice a week</w:t>
            </w:r>
          </w:p>
          <w:p w14:paraId="5C32C333" w14:textId="77777777" w:rsidR="00AB675F" w:rsidRPr="003F1085" w:rsidRDefault="00AB675F" w:rsidP="009E19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93ADF6" w14:textId="77777777" w:rsidR="0000539E" w:rsidRPr="003F1085" w:rsidRDefault="0000539E" w:rsidP="00E854DF">
      <w:pPr>
        <w:contextualSpacing/>
        <w:rPr>
          <w:rFonts w:ascii="Arial" w:hAnsi="Arial" w:cs="Arial"/>
          <w:sz w:val="18"/>
          <w:szCs w:val="18"/>
        </w:rPr>
      </w:pPr>
    </w:p>
    <w:sectPr w:rsidR="0000539E" w:rsidRPr="003F1085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493E" w14:textId="77777777" w:rsidR="00B01923" w:rsidRDefault="00B01923" w:rsidP="009B354B">
      <w:r>
        <w:separator/>
      </w:r>
    </w:p>
  </w:endnote>
  <w:endnote w:type="continuationSeparator" w:id="0">
    <w:p w14:paraId="1ECD9C93" w14:textId="77777777" w:rsidR="00B01923" w:rsidRDefault="00B01923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06D2" w14:textId="77777777" w:rsidR="00B01923" w:rsidRDefault="00B01923" w:rsidP="009B354B">
      <w:r>
        <w:separator/>
      </w:r>
    </w:p>
  </w:footnote>
  <w:footnote w:type="continuationSeparator" w:id="0">
    <w:p w14:paraId="5832D90A" w14:textId="77777777" w:rsidR="00B01923" w:rsidRDefault="00B01923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A2FCA"/>
    <w:multiLevelType w:val="hybridMultilevel"/>
    <w:tmpl w:val="4FA0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A61A0"/>
    <w:multiLevelType w:val="hybridMultilevel"/>
    <w:tmpl w:val="F2E840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5598E"/>
    <w:multiLevelType w:val="hybridMultilevel"/>
    <w:tmpl w:val="28384E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75B90"/>
    <w:multiLevelType w:val="multilevel"/>
    <w:tmpl w:val="9E26B4E8"/>
    <w:numStyleLink w:val="ArticleSection"/>
  </w:abstractNum>
  <w:abstractNum w:abstractNumId="27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D2016"/>
    <w:multiLevelType w:val="hybridMultilevel"/>
    <w:tmpl w:val="A3CC4B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960E42"/>
    <w:multiLevelType w:val="multilevel"/>
    <w:tmpl w:val="9E26B4E8"/>
    <w:numStyleLink w:val="ArticleSection"/>
  </w:abstractNum>
  <w:abstractNum w:abstractNumId="37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94296"/>
    <w:multiLevelType w:val="hybridMultilevel"/>
    <w:tmpl w:val="7194BA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2009199">
    <w:abstractNumId w:val="37"/>
  </w:num>
  <w:num w:numId="2" w16cid:durableId="1362590585">
    <w:abstractNumId w:val="36"/>
  </w:num>
  <w:num w:numId="3" w16cid:durableId="1160192121">
    <w:abstractNumId w:val="28"/>
  </w:num>
  <w:num w:numId="4" w16cid:durableId="1696888250">
    <w:abstractNumId w:val="12"/>
  </w:num>
  <w:num w:numId="5" w16cid:durableId="1107114365">
    <w:abstractNumId w:val="26"/>
  </w:num>
  <w:num w:numId="6" w16cid:durableId="2132936772">
    <w:abstractNumId w:val="9"/>
  </w:num>
  <w:num w:numId="7" w16cid:durableId="1148549835">
    <w:abstractNumId w:val="7"/>
  </w:num>
  <w:num w:numId="8" w16cid:durableId="1302609817">
    <w:abstractNumId w:val="6"/>
  </w:num>
  <w:num w:numId="9" w16cid:durableId="7677779">
    <w:abstractNumId w:val="5"/>
  </w:num>
  <w:num w:numId="10" w16cid:durableId="178980001">
    <w:abstractNumId w:val="4"/>
  </w:num>
  <w:num w:numId="11" w16cid:durableId="1905215446">
    <w:abstractNumId w:val="8"/>
  </w:num>
  <w:num w:numId="12" w16cid:durableId="1534462965">
    <w:abstractNumId w:val="3"/>
  </w:num>
  <w:num w:numId="13" w16cid:durableId="409886136">
    <w:abstractNumId w:val="2"/>
  </w:num>
  <w:num w:numId="14" w16cid:durableId="1969895475">
    <w:abstractNumId w:val="1"/>
  </w:num>
  <w:num w:numId="15" w16cid:durableId="1454399124">
    <w:abstractNumId w:val="0"/>
  </w:num>
  <w:num w:numId="16" w16cid:durableId="1808158902">
    <w:abstractNumId w:val="14"/>
  </w:num>
  <w:num w:numId="17" w16cid:durableId="1804080674">
    <w:abstractNumId w:val="10"/>
  </w:num>
  <w:num w:numId="18" w16cid:durableId="68773301">
    <w:abstractNumId w:val="19"/>
  </w:num>
  <w:num w:numId="19" w16cid:durableId="833689820">
    <w:abstractNumId w:val="24"/>
  </w:num>
  <w:num w:numId="20" w16cid:durableId="1247346982">
    <w:abstractNumId w:val="35"/>
  </w:num>
  <w:num w:numId="21" w16cid:durableId="2061053857">
    <w:abstractNumId w:val="11"/>
  </w:num>
  <w:num w:numId="22" w16cid:durableId="760564967">
    <w:abstractNumId w:val="34"/>
  </w:num>
  <w:num w:numId="23" w16cid:durableId="1528442354">
    <w:abstractNumId w:val="32"/>
  </w:num>
  <w:num w:numId="24" w16cid:durableId="449936492">
    <w:abstractNumId w:val="17"/>
  </w:num>
  <w:num w:numId="25" w16cid:durableId="441532659">
    <w:abstractNumId w:val="18"/>
  </w:num>
  <w:num w:numId="26" w16cid:durableId="1811554134">
    <w:abstractNumId w:val="30"/>
  </w:num>
  <w:num w:numId="27" w16cid:durableId="472648024">
    <w:abstractNumId w:val="25"/>
  </w:num>
  <w:num w:numId="28" w16cid:durableId="1657340080">
    <w:abstractNumId w:val="15"/>
  </w:num>
  <w:num w:numId="29" w16cid:durableId="1181822075">
    <w:abstractNumId w:val="29"/>
  </w:num>
  <w:num w:numId="30" w16cid:durableId="1901476726">
    <w:abstractNumId w:val="16"/>
  </w:num>
  <w:num w:numId="31" w16cid:durableId="1134444375">
    <w:abstractNumId w:val="21"/>
  </w:num>
  <w:num w:numId="32" w16cid:durableId="1446802960">
    <w:abstractNumId w:val="31"/>
  </w:num>
  <w:num w:numId="33" w16cid:durableId="258998382">
    <w:abstractNumId w:val="27"/>
  </w:num>
  <w:num w:numId="34" w16cid:durableId="2020305381">
    <w:abstractNumId w:val="39"/>
  </w:num>
  <w:num w:numId="35" w16cid:durableId="608393227">
    <w:abstractNumId w:val="22"/>
  </w:num>
  <w:num w:numId="36" w16cid:durableId="1657613603">
    <w:abstractNumId w:val="13"/>
  </w:num>
  <w:num w:numId="37" w16cid:durableId="181015728">
    <w:abstractNumId w:val="20"/>
  </w:num>
  <w:num w:numId="38" w16cid:durableId="1856574734">
    <w:abstractNumId w:val="23"/>
  </w:num>
  <w:num w:numId="39" w16cid:durableId="1672680253">
    <w:abstractNumId w:val="33"/>
  </w:num>
  <w:num w:numId="40" w16cid:durableId="1706252604">
    <w:abstractNumId w:val="38"/>
  </w:num>
  <w:num w:numId="41" w16cid:durableId="3792862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36530"/>
    <w:rsid w:val="00043CE9"/>
    <w:rsid w:val="00070196"/>
    <w:rsid w:val="0007058B"/>
    <w:rsid w:val="000B4339"/>
    <w:rsid w:val="000E64A0"/>
    <w:rsid w:val="00104A5C"/>
    <w:rsid w:val="00106F7B"/>
    <w:rsid w:val="00114351"/>
    <w:rsid w:val="001151A5"/>
    <w:rsid w:val="0011785B"/>
    <w:rsid w:val="00117D53"/>
    <w:rsid w:val="001453C9"/>
    <w:rsid w:val="00152896"/>
    <w:rsid w:val="00167C0E"/>
    <w:rsid w:val="00176668"/>
    <w:rsid w:val="001A4CC0"/>
    <w:rsid w:val="001B1D94"/>
    <w:rsid w:val="001D1331"/>
    <w:rsid w:val="001D14AD"/>
    <w:rsid w:val="001E5DCB"/>
    <w:rsid w:val="0020077F"/>
    <w:rsid w:val="00206AA7"/>
    <w:rsid w:val="00243B02"/>
    <w:rsid w:val="00246BD1"/>
    <w:rsid w:val="002547D9"/>
    <w:rsid w:val="002616DB"/>
    <w:rsid w:val="0026238D"/>
    <w:rsid w:val="002661ED"/>
    <w:rsid w:val="00274E36"/>
    <w:rsid w:val="00275165"/>
    <w:rsid w:val="002956C7"/>
    <w:rsid w:val="002A2455"/>
    <w:rsid w:val="002A372E"/>
    <w:rsid w:val="002B56CB"/>
    <w:rsid w:val="002B7628"/>
    <w:rsid w:val="002D19B4"/>
    <w:rsid w:val="002E032C"/>
    <w:rsid w:val="002E144A"/>
    <w:rsid w:val="00310879"/>
    <w:rsid w:val="00316255"/>
    <w:rsid w:val="0031648D"/>
    <w:rsid w:val="00325B0E"/>
    <w:rsid w:val="00331EFB"/>
    <w:rsid w:val="00334AF4"/>
    <w:rsid w:val="00337A24"/>
    <w:rsid w:val="00340A16"/>
    <w:rsid w:val="00370891"/>
    <w:rsid w:val="00372803"/>
    <w:rsid w:val="00395553"/>
    <w:rsid w:val="003A7A53"/>
    <w:rsid w:val="003B2EC8"/>
    <w:rsid w:val="003B3EF0"/>
    <w:rsid w:val="003B6821"/>
    <w:rsid w:val="003D4B15"/>
    <w:rsid w:val="003E3F37"/>
    <w:rsid w:val="003E7656"/>
    <w:rsid w:val="003F1085"/>
    <w:rsid w:val="003F4D40"/>
    <w:rsid w:val="003F636C"/>
    <w:rsid w:val="00400C2D"/>
    <w:rsid w:val="00411D4A"/>
    <w:rsid w:val="00414A56"/>
    <w:rsid w:val="004454C1"/>
    <w:rsid w:val="00457650"/>
    <w:rsid w:val="00465B28"/>
    <w:rsid w:val="00467E95"/>
    <w:rsid w:val="00472DD0"/>
    <w:rsid w:val="00481E11"/>
    <w:rsid w:val="00486D88"/>
    <w:rsid w:val="004B07A5"/>
    <w:rsid w:val="004C3646"/>
    <w:rsid w:val="004C3D0E"/>
    <w:rsid w:val="004C501F"/>
    <w:rsid w:val="004C52C8"/>
    <w:rsid w:val="004D4EEF"/>
    <w:rsid w:val="004F5986"/>
    <w:rsid w:val="00500492"/>
    <w:rsid w:val="00517719"/>
    <w:rsid w:val="00520DD6"/>
    <w:rsid w:val="00540CFB"/>
    <w:rsid w:val="005470DE"/>
    <w:rsid w:val="00561584"/>
    <w:rsid w:val="0057529E"/>
    <w:rsid w:val="00585986"/>
    <w:rsid w:val="00594F8D"/>
    <w:rsid w:val="005D328C"/>
    <w:rsid w:val="005E2E8A"/>
    <w:rsid w:val="005E5251"/>
    <w:rsid w:val="005F5FFD"/>
    <w:rsid w:val="005F6528"/>
    <w:rsid w:val="00601E98"/>
    <w:rsid w:val="00623099"/>
    <w:rsid w:val="00633664"/>
    <w:rsid w:val="00636977"/>
    <w:rsid w:val="00654B34"/>
    <w:rsid w:val="0066751F"/>
    <w:rsid w:val="0067307B"/>
    <w:rsid w:val="0067504D"/>
    <w:rsid w:val="00676B94"/>
    <w:rsid w:val="00677BA7"/>
    <w:rsid w:val="00681DDD"/>
    <w:rsid w:val="00682AFD"/>
    <w:rsid w:val="006958A9"/>
    <w:rsid w:val="006A073A"/>
    <w:rsid w:val="006A0EFD"/>
    <w:rsid w:val="006A2687"/>
    <w:rsid w:val="00750470"/>
    <w:rsid w:val="00760BCD"/>
    <w:rsid w:val="0076684B"/>
    <w:rsid w:val="0077319D"/>
    <w:rsid w:val="00776B08"/>
    <w:rsid w:val="007870D8"/>
    <w:rsid w:val="007939EB"/>
    <w:rsid w:val="00793C5B"/>
    <w:rsid w:val="007B14A2"/>
    <w:rsid w:val="007D5D83"/>
    <w:rsid w:val="007E1B32"/>
    <w:rsid w:val="007F0FE0"/>
    <w:rsid w:val="007F5BB9"/>
    <w:rsid w:val="00807A98"/>
    <w:rsid w:val="00813800"/>
    <w:rsid w:val="00822AE1"/>
    <w:rsid w:val="00837880"/>
    <w:rsid w:val="00837DEE"/>
    <w:rsid w:val="00841432"/>
    <w:rsid w:val="00853956"/>
    <w:rsid w:val="00864182"/>
    <w:rsid w:val="00865079"/>
    <w:rsid w:val="008665DB"/>
    <w:rsid w:val="00896E22"/>
    <w:rsid w:val="008A1076"/>
    <w:rsid w:val="008A349C"/>
    <w:rsid w:val="008B7ECE"/>
    <w:rsid w:val="008D599D"/>
    <w:rsid w:val="008E036F"/>
    <w:rsid w:val="0090007A"/>
    <w:rsid w:val="00902B1A"/>
    <w:rsid w:val="00904F32"/>
    <w:rsid w:val="00907448"/>
    <w:rsid w:val="00930E47"/>
    <w:rsid w:val="00937155"/>
    <w:rsid w:val="00941DAB"/>
    <w:rsid w:val="00945085"/>
    <w:rsid w:val="009479D0"/>
    <w:rsid w:val="00951356"/>
    <w:rsid w:val="00956C15"/>
    <w:rsid w:val="0096596A"/>
    <w:rsid w:val="00965E8F"/>
    <w:rsid w:val="009675AB"/>
    <w:rsid w:val="00985E52"/>
    <w:rsid w:val="00987970"/>
    <w:rsid w:val="009968EA"/>
    <w:rsid w:val="009A10ED"/>
    <w:rsid w:val="009B1E7F"/>
    <w:rsid w:val="009B354B"/>
    <w:rsid w:val="009C29C7"/>
    <w:rsid w:val="009C4F8E"/>
    <w:rsid w:val="009D633D"/>
    <w:rsid w:val="009E197C"/>
    <w:rsid w:val="009E5715"/>
    <w:rsid w:val="00A00BDF"/>
    <w:rsid w:val="00A01D6B"/>
    <w:rsid w:val="00A026AC"/>
    <w:rsid w:val="00A050CA"/>
    <w:rsid w:val="00A06474"/>
    <w:rsid w:val="00A12EC9"/>
    <w:rsid w:val="00A41D28"/>
    <w:rsid w:val="00A441EC"/>
    <w:rsid w:val="00A71997"/>
    <w:rsid w:val="00A76EBF"/>
    <w:rsid w:val="00A976B4"/>
    <w:rsid w:val="00AB675F"/>
    <w:rsid w:val="00AD34A7"/>
    <w:rsid w:val="00AE1C56"/>
    <w:rsid w:val="00AE5E01"/>
    <w:rsid w:val="00AF5361"/>
    <w:rsid w:val="00B01923"/>
    <w:rsid w:val="00B05EE7"/>
    <w:rsid w:val="00B33969"/>
    <w:rsid w:val="00B60F56"/>
    <w:rsid w:val="00B71B64"/>
    <w:rsid w:val="00B746CD"/>
    <w:rsid w:val="00BB1750"/>
    <w:rsid w:val="00BB5D45"/>
    <w:rsid w:val="00BE3E90"/>
    <w:rsid w:val="00C0416B"/>
    <w:rsid w:val="00C364B5"/>
    <w:rsid w:val="00C46182"/>
    <w:rsid w:val="00C55A73"/>
    <w:rsid w:val="00C622BD"/>
    <w:rsid w:val="00C71085"/>
    <w:rsid w:val="00C71352"/>
    <w:rsid w:val="00C737CC"/>
    <w:rsid w:val="00C87E2D"/>
    <w:rsid w:val="00CA59E0"/>
    <w:rsid w:val="00CD0188"/>
    <w:rsid w:val="00CD0FF4"/>
    <w:rsid w:val="00CD5D19"/>
    <w:rsid w:val="00CD5F47"/>
    <w:rsid w:val="00CE68A4"/>
    <w:rsid w:val="00CF0354"/>
    <w:rsid w:val="00CF623E"/>
    <w:rsid w:val="00D1262D"/>
    <w:rsid w:val="00D241F3"/>
    <w:rsid w:val="00D30040"/>
    <w:rsid w:val="00D34B3D"/>
    <w:rsid w:val="00D453EB"/>
    <w:rsid w:val="00D57098"/>
    <w:rsid w:val="00D5779B"/>
    <w:rsid w:val="00D71683"/>
    <w:rsid w:val="00D82135"/>
    <w:rsid w:val="00D83DF8"/>
    <w:rsid w:val="00DB0FCD"/>
    <w:rsid w:val="00DB3287"/>
    <w:rsid w:val="00DB7343"/>
    <w:rsid w:val="00DB7A5F"/>
    <w:rsid w:val="00DC64B6"/>
    <w:rsid w:val="00DE34E8"/>
    <w:rsid w:val="00DE5A14"/>
    <w:rsid w:val="00DF42A3"/>
    <w:rsid w:val="00DF671D"/>
    <w:rsid w:val="00E012C2"/>
    <w:rsid w:val="00E01E95"/>
    <w:rsid w:val="00E04CD3"/>
    <w:rsid w:val="00E16541"/>
    <w:rsid w:val="00E26792"/>
    <w:rsid w:val="00E51CEB"/>
    <w:rsid w:val="00E53F92"/>
    <w:rsid w:val="00E8206F"/>
    <w:rsid w:val="00E854DF"/>
    <w:rsid w:val="00E85526"/>
    <w:rsid w:val="00EA02E1"/>
    <w:rsid w:val="00EA5C19"/>
    <w:rsid w:val="00EC1363"/>
    <w:rsid w:val="00EC5F38"/>
    <w:rsid w:val="00ED319B"/>
    <w:rsid w:val="00EF2D49"/>
    <w:rsid w:val="00EF3526"/>
    <w:rsid w:val="00F01582"/>
    <w:rsid w:val="00F37D8F"/>
    <w:rsid w:val="00F401C6"/>
    <w:rsid w:val="00F42CD4"/>
    <w:rsid w:val="00F67DE2"/>
    <w:rsid w:val="00F735C4"/>
    <w:rsid w:val="00F801E5"/>
    <w:rsid w:val="00FA76B5"/>
    <w:rsid w:val="00FE09B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E86E82"/>
  <w15:docId w15:val="{73FB37F1-7786-446C-8055-1B689FA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farquhv</dc:creator>
  <cp:lastModifiedBy>Aidan Casey</cp:lastModifiedBy>
  <cp:revision>8</cp:revision>
  <cp:lastPrinted>2013-08-07T14:24:00Z</cp:lastPrinted>
  <dcterms:created xsi:type="dcterms:W3CDTF">2023-10-20T13:03:00Z</dcterms:created>
  <dcterms:modified xsi:type="dcterms:W3CDTF">2024-03-28T11:00:00Z</dcterms:modified>
</cp:coreProperties>
</file>